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CE57C" w14:textId="77777777" w:rsidR="004B4CD2" w:rsidRPr="004B4CD2" w:rsidRDefault="004B4CD2" w:rsidP="004B4CD2">
      <w:pPr>
        <w:ind w:hanging="567"/>
        <w:rPr>
          <w:rFonts w:asciiTheme="minorHAnsi" w:hAnsiTheme="minorHAnsi" w:cstheme="minorHAnsi"/>
          <w:sz w:val="22"/>
          <w:szCs w:val="22"/>
          <w:lang w:val="mk-MK"/>
        </w:rPr>
      </w:pPr>
      <w:r w:rsidRPr="004B4CD2">
        <w:rPr>
          <w:rFonts w:asciiTheme="minorHAnsi" w:hAnsiTheme="minorHAnsi" w:cstheme="minorHAnsi"/>
          <w:noProof/>
          <w:sz w:val="22"/>
          <w:szCs w:val="22"/>
          <w:lang w:val="mk-MK" w:eastAsia="mk-MK"/>
        </w:rPr>
        <w:drawing>
          <wp:inline distT="0" distB="0" distL="0" distR="0" wp14:anchorId="77E4661C" wp14:editId="102E3BF5">
            <wp:extent cx="1466215" cy="440055"/>
            <wp:effectExtent l="19050" t="0" r="635" b="0"/>
            <wp:docPr id="1" name="Picture 1" descr="C:\Users\mpavlovska\Desktop\logo silkroa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avlovska\Desktop\logo silkroad.jpeg"/>
                    <pic:cNvPicPr>
                      <a:picLocks noChangeAspect="1" noChangeArrowheads="1"/>
                    </pic:cNvPicPr>
                  </pic:nvPicPr>
                  <pic:blipFill>
                    <a:blip r:embed="rId8" cstate="print"/>
                    <a:srcRect/>
                    <a:stretch>
                      <a:fillRect/>
                    </a:stretch>
                  </pic:blipFill>
                  <pic:spPr bwMode="auto">
                    <a:xfrm>
                      <a:off x="0" y="0"/>
                      <a:ext cx="1466215" cy="440055"/>
                    </a:xfrm>
                    <a:prstGeom prst="rect">
                      <a:avLst/>
                    </a:prstGeom>
                    <a:noFill/>
                    <a:ln w="9525">
                      <a:noFill/>
                      <a:miter lim="800000"/>
                      <a:headEnd/>
                      <a:tailEnd/>
                    </a:ln>
                  </pic:spPr>
                </pic:pic>
              </a:graphicData>
            </a:graphic>
          </wp:inline>
        </w:drawing>
      </w:r>
    </w:p>
    <w:p w14:paraId="7B8C7C24" w14:textId="77777777" w:rsidR="004B4CD2" w:rsidRPr="004B4CD2" w:rsidRDefault="004B4CD2" w:rsidP="004B4CD2">
      <w:pPr>
        <w:rPr>
          <w:rFonts w:asciiTheme="minorHAnsi" w:hAnsiTheme="minorHAnsi" w:cstheme="minorHAnsi"/>
          <w:sz w:val="22"/>
          <w:szCs w:val="22"/>
          <w:lang w:val="mk-MK"/>
        </w:rPr>
      </w:pPr>
    </w:p>
    <w:p w14:paraId="578376D3" w14:textId="77777777" w:rsidR="004B4CD2" w:rsidRPr="004B4CD2" w:rsidRDefault="004B4CD2" w:rsidP="004B4CD2">
      <w:pPr>
        <w:rPr>
          <w:rFonts w:asciiTheme="minorHAnsi" w:hAnsiTheme="minorHAnsi" w:cstheme="minorHAnsi"/>
          <w:sz w:val="22"/>
          <w:szCs w:val="22"/>
          <w:lang w:val="en-US"/>
        </w:rPr>
      </w:pPr>
    </w:p>
    <w:p w14:paraId="69725F55" w14:textId="77777777" w:rsidR="004B4CD2" w:rsidRPr="004B4CD2" w:rsidRDefault="004B4CD2" w:rsidP="004B4CD2">
      <w:pPr>
        <w:rPr>
          <w:rFonts w:asciiTheme="minorHAnsi" w:hAnsiTheme="minorHAnsi" w:cstheme="minorHAnsi"/>
          <w:sz w:val="22"/>
          <w:szCs w:val="22"/>
          <w:lang w:val="en-US"/>
        </w:rPr>
      </w:pPr>
    </w:p>
    <w:p w14:paraId="63C0222F" w14:textId="77777777" w:rsidR="004B4CD2" w:rsidRPr="004B4CD2" w:rsidRDefault="004B4CD2" w:rsidP="004B4CD2">
      <w:pPr>
        <w:rPr>
          <w:rFonts w:asciiTheme="minorHAnsi" w:hAnsiTheme="minorHAnsi" w:cstheme="minorHAnsi"/>
          <w:sz w:val="22"/>
          <w:szCs w:val="22"/>
          <w:lang w:val="ru-RU"/>
        </w:rPr>
      </w:pPr>
      <w:r w:rsidRPr="004B4CD2">
        <w:rPr>
          <w:rFonts w:asciiTheme="minorHAnsi" w:hAnsiTheme="minorHAnsi" w:cstheme="minorHAnsi"/>
          <w:sz w:val="22"/>
          <w:szCs w:val="22"/>
          <w:lang w:val="ru-RU"/>
        </w:rPr>
        <w:t>Врз основа на Одлуката на Народната банка на Република Македонија за објавување извештаи и податоци од страна</w:t>
      </w:r>
      <w:r w:rsidRPr="004B4CD2">
        <w:rPr>
          <w:rFonts w:asciiTheme="minorHAnsi" w:hAnsiTheme="minorHAnsi" w:cstheme="minorHAnsi"/>
          <w:sz w:val="22"/>
          <w:szCs w:val="22"/>
          <w:lang w:val="mk-MK"/>
        </w:rPr>
        <w:t xml:space="preserve"> на</w:t>
      </w:r>
      <w:r w:rsidRPr="004B4CD2">
        <w:rPr>
          <w:rFonts w:asciiTheme="minorHAnsi" w:hAnsiTheme="minorHAnsi" w:cstheme="minorHAnsi"/>
          <w:sz w:val="22"/>
          <w:szCs w:val="22"/>
          <w:lang w:val="ru-RU"/>
        </w:rPr>
        <w:t xml:space="preserve"> Банката (Сл. Весник на РМ, бр.134/2007), Силк Роуд Банка АД Скопје објавува:</w:t>
      </w:r>
    </w:p>
    <w:p w14:paraId="5CEC4AE6" w14:textId="77777777" w:rsidR="004B4CD2" w:rsidRPr="004B4CD2" w:rsidRDefault="004B4CD2" w:rsidP="004B4CD2">
      <w:pPr>
        <w:rPr>
          <w:rFonts w:asciiTheme="minorHAnsi" w:hAnsiTheme="minorHAnsi" w:cstheme="minorHAnsi"/>
          <w:sz w:val="22"/>
          <w:szCs w:val="22"/>
          <w:lang w:val="ru-RU"/>
        </w:rPr>
      </w:pPr>
    </w:p>
    <w:p w14:paraId="700253FC" w14:textId="77777777" w:rsidR="004B4CD2" w:rsidRPr="004B4CD2" w:rsidRDefault="004B4CD2" w:rsidP="004B4CD2">
      <w:pPr>
        <w:rPr>
          <w:rFonts w:asciiTheme="minorHAnsi" w:hAnsiTheme="minorHAnsi" w:cstheme="minorHAnsi"/>
          <w:sz w:val="22"/>
          <w:szCs w:val="22"/>
          <w:lang w:val="ru-RU"/>
        </w:rPr>
      </w:pPr>
    </w:p>
    <w:p w14:paraId="245CE31C" w14:textId="77777777" w:rsidR="004B4CD2" w:rsidRPr="004B4CD2" w:rsidRDefault="004B4CD2" w:rsidP="004B4CD2">
      <w:pPr>
        <w:jc w:val="center"/>
        <w:outlineLvl w:val="0"/>
        <w:rPr>
          <w:rFonts w:asciiTheme="minorHAnsi" w:hAnsiTheme="minorHAnsi" w:cstheme="minorHAnsi"/>
          <w:b/>
          <w:sz w:val="22"/>
          <w:szCs w:val="22"/>
          <w:lang w:val="ru-RU"/>
        </w:rPr>
      </w:pPr>
      <w:r w:rsidRPr="004B4CD2">
        <w:rPr>
          <w:rFonts w:asciiTheme="minorHAnsi" w:hAnsiTheme="minorHAnsi" w:cstheme="minorHAnsi"/>
          <w:b/>
          <w:sz w:val="22"/>
          <w:szCs w:val="22"/>
          <w:lang w:val="ru-RU"/>
        </w:rPr>
        <w:t>ИЗВЕШТАИ И ПОДАТОЦИ</w:t>
      </w:r>
    </w:p>
    <w:p w14:paraId="1A8166B1" w14:textId="4B3E33CD" w:rsidR="004B4CD2" w:rsidRDefault="004B4CD2" w:rsidP="004B4CD2">
      <w:pPr>
        <w:jc w:val="center"/>
        <w:outlineLvl w:val="0"/>
        <w:rPr>
          <w:rFonts w:asciiTheme="minorHAnsi" w:hAnsiTheme="minorHAnsi" w:cstheme="minorHAnsi"/>
          <w:b/>
          <w:sz w:val="22"/>
          <w:szCs w:val="22"/>
          <w:lang w:val="ru-RU"/>
        </w:rPr>
      </w:pPr>
      <w:r w:rsidRPr="004B4CD2">
        <w:rPr>
          <w:rFonts w:asciiTheme="minorHAnsi" w:hAnsiTheme="minorHAnsi" w:cstheme="minorHAnsi"/>
          <w:b/>
          <w:sz w:val="22"/>
          <w:szCs w:val="22"/>
          <w:lang w:val="ru-RU"/>
        </w:rPr>
        <w:t xml:space="preserve">на ден </w:t>
      </w:r>
      <w:r w:rsidR="00893E6E">
        <w:rPr>
          <w:rFonts w:asciiTheme="minorHAnsi" w:hAnsiTheme="minorHAnsi" w:cstheme="minorHAnsi"/>
          <w:b/>
          <w:sz w:val="22"/>
          <w:szCs w:val="22"/>
        </w:rPr>
        <w:t>30</w:t>
      </w:r>
      <w:r w:rsidRPr="004B4CD2">
        <w:rPr>
          <w:rFonts w:asciiTheme="minorHAnsi" w:hAnsiTheme="minorHAnsi" w:cstheme="minorHAnsi"/>
          <w:b/>
          <w:sz w:val="22"/>
          <w:szCs w:val="22"/>
        </w:rPr>
        <w:t>.</w:t>
      </w:r>
      <w:r w:rsidR="00893E6E">
        <w:rPr>
          <w:rFonts w:asciiTheme="minorHAnsi" w:hAnsiTheme="minorHAnsi" w:cstheme="minorHAnsi"/>
          <w:b/>
          <w:sz w:val="22"/>
          <w:szCs w:val="22"/>
        </w:rPr>
        <w:t>06</w:t>
      </w:r>
      <w:r w:rsidRPr="004B4CD2">
        <w:rPr>
          <w:rFonts w:asciiTheme="minorHAnsi" w:hAnsiTheme="minorHAnsi" w:cstheme="minorHAnsi"/>
          <w:b/>
          <w:sz w:val="22"/>
          <w:szCs w:val="22"/>
        </w:rPr>
        <w:t>.</w:t>
      </w:r>
      <w:r w:rsidR="00561AFC" w:rsidRPr="004B4CD2">
        <w:rPr>
          <w:rFonts w:asciiTheme="minorHAnsi" w:hAnsiTheme="minorHAnsi" w:cstheme="minorHAnsi"/>
          <w:b/>
          <w:sz w:val="22"/>
          <w:szCs w:val="22"/>
        </w:rPr>
        <w:t>202</w:t>
      </w:r>
      <w:r w:rsidR="00561AFC">
        <w:rPr>
          <w:rFonts w:asciiTheme="minorHAnsi" w:hAnsiTheme="minorHAnsi" w:cstheme="minorHAnsi"/>
          <w:b/>
          <w:sz w:val="22"/>
          <w:szCs w:val="22"/>
          <w:lang w:val="mk-MK"/>
        </w:rPr>
        <w:t>2</w:t>
      </w:r>
      <w:r w:rsidR="00561AFC" w:rsidRPr="004B4CD2">
        <w:rPr>
          <w:rFonts w:asciiTheme="minorHAnsi" w:hAnsiTheme="minorHAnsi" w:cstheme="minorHAnsi"/>
          <w:b/>
          <w:sz w:val="22"/>
          <w:szCs w:val="22"/>
          <w:lang w:val="ru-RU"/>
        </w:rPr>
        <w:t xml:space="preserve"> </w:t>
      </w:r>
      <w:r w:rsidRPr="004B4CD2">
        <w:rPr>
          <w:rFonts w:asciiTheme="minorHAnsi" w:hAnsiTheme="minorHAnsi" w:cstheme="minorHAnsi"/>
          <w:b/>
          <w:sz w:val="22"/>
          <w:szCs w:val="22"/>
          <w:lang w:val="ru-RU"/>
        </w:rPr>
        <w:t>година</w:t>
      </w:r>
    </w:p>
    <w:p w14:paraId="714D4CA5" w14:textId="7DAE6863" w:rsidR="009E6EA3" w:rsidRPr="009E6EA3" w:rsidRDefault="009E6EA3" w:rsidP="004B4CD2">
      <w:pPr>
        <w:jc w:val="center"/>
        <w:outlineLvl w:val="0"/>
        <w:rPr>
          <w:rFonts w:asciiTheme="minorHAnsi" w:hAnsiTheme="minorHAnsi" w:cstheme="minorHAnsi"/>
          <w:sz w:val="22"/>
          <w:szCs w:val="22"/>
          <w:lang w:val="ru-RU"/>
        </w:rPr>
      </w:pPr>
      <w:r>
        <w:rPr>
          <w:rFonts w:asciiTheme="minorHAnsi" w:hAnsiTheme="minorHAnsi" w:cstheme="minorHAnsi"/>
          <w:sz w:val="22"/>
          <w:szCs w:val="22"/>
          <w:lang w:val="ru-RU"/>
        </w:rPr>
        <w:t xml:space="preserve">објавено на </w:t>
      </w:r>
      <w:r w:rsidR="00561AFC">
        <w:rPr>
          <w:rFonts w:asciiTheme="minorHAnsi" w:hAnsiTheme="minorHAnsi" w:cstheme="minorHAnsi"/>
          <w:sz w:val="22"/>
          <w:szCs w:val="22"/>
          <w:lang w:val="ru-RU"/>
        </w:rPr>
        <w:t>2</w:t>
      </w:r>
      <w:r w:rsidR="00836A77" w:rsidRPr="00836A77">
        <w:rPr>
          <w:rFonts w:asciiTheme="minorHAnsi" w:hAnsiTheme="minorHAnsi" w:cstheme="minorHAnsi"/>
          <w:sz w:val="22"/>
          <w:szCs w:val="22"/>
          <w:lang w:val="ru-RU"/>
        </w:rPr>
        <w:t>6</w:t>
      </w:r>
      <w:r>
        <w:rPr>
          <w:rFonts w:asciiTheme="minorHAnsi" w:hAnsiTheme="minorHAnsi" w:cstheme="minorHAnsi"/>
          <w:sz w:val="22"/>
          <w:szCs w:val="22"/>
          <w:lang w:val="ru-RU"/>
        </w:rPr>
        <w:t>.07.</w:t>
      </w:r>
      <w:r w:rsidR="00561AFC">
        <w:rPr>
          <w:rFonts w:asciiTheme="minorHAnsi" w:hAnsiTheme="minorHAnsi" w:cstheme="minorHAnsi"/>
          <w:sz w:val="22"/>
          <w:szCs w:val="22"/>
          <w:lang w:val="ru-RU"/>
        </w:rPr>
        <w:t>2022</w:t>
      </w:r>
    </w:p>
    <w:p w14:paraId="3D82468F" w14:textId="77777777" w:rsidR="004B4CD2" w:rsidRPr="004B4CD2" w:rsidRDefault="004B4CD2" w:rsidP="004B4CD2">
      <w:pPr>
        <w:rPr>
          <w:rFonts w:asciiTheme="minorHAnsi" w:hAnsiTheme="minorHAnsi" w:cstheme="minorHAnsi"/>
          <w:sz w:val="22"/>
          <w:szCs w:val="22"/>
          <w:lang w:val="ru-RU"/>
        </w:rPr>
      </w:pPr>
    </w:p>
    <w:p w14:paraId="49D9B616" w14:textId="77777777" w:rsidR="004B4CD2" w:rsidRPr="004B4CD2" w:rsidRDefault="004B4CD2" w:rsidP="004B4CD2">
      <w:pPr>
        <w:rPr>
          <w:rFonts w:asciiTheme="minorHAnsi" w:hAnsiTheme="minorHAnsi" w:cstheme="minorHAnsi"/>
          <w:sz w:val="22"/>
          <w:szCs w:val="22"/>
          <w:lang w:val="ru-RU"/>
        </w:rPr>
      </w:pPr>
    </w:p>
    <w:p w14:paraId="402B578A" w14:textId="77777777" w:rsidR="004B4CD2" w:rsidRPr="004B4CD2" w:rsidRDefault="004B4CD2" w:rsidP="004B4CD2">
      <w:pPr>
        <w:outlineLvl w:val="0"/>
        <w:rPr>
          <w:rFonts w:asciiTheme="minorHAnsi" w:hAnsiTheme="minorHAnsi" w:cstheme="minorHAnsi"/>
          <w:b/>
          <w:sz w:val="22"/>
          <w:szCs w:val="22"/>
          <w:lang w:val="ru-RU"/>
        </w:rPr>
      </w:pPr>
      <w:r w:rsidRPr="004B4CD2">
        <w:rPr>
          <w:rFonts w:asciiTheme="minorHAnsi" w:hAnsiTheme="minorHAnsi" w:cstheme="minorHAnsi"/>
          <w:b/>
          <w:sz w:val="22"/>
          <w:szCs w:val="22"/>
          <w:lang w:val="ru-RU"/>
        </w:rPr>
        <w:t>СОДРЖИНА</w:t>
      </w:r>
    </w:p>
    <w:p w14:paraId="59CA1209" w14:textId="77777777" w:rsidR="004B4CD2" w:rsidRPr="004B4CD2" w:rsidRDefault="004B4CD2" w:rsidP="004B4CD2">
      <w:pPr>
        <w:rPr>
          <w:rFonts w:asciiTheme="minorHAnsi" w:hAnsiTheme="minorHAnsi" w:cstheme="minorHAnsi"/>
          <w:b/>
          <w:sz w:val="22"/>
          <w:szCs w:val="22"/>
          <w:lang w:val="ru-RU"/>
        </w:rPr>
      </w:pPr>
    </w:p>
    <w:p w14:paraId="3822D95B" w14:textId="77777777" w:rsidR="004B4CD2" w:rsidRPr="004B4CD2" w:rsidRDefault="004B4CD2" w:rsidP="004B4CD2">
      <w:pPr>
        <w:rPr>
          <w:rFonts w:asciiTheme="minorHAnsi" w:hAnsiTheme="minorHAnsi" w:cstheme="minorHAnsi"/>
          <w:sz w:val="22"/>
          <w:szCs w:val="22"/>
          <w:lang w:val="ru-RU"/>
        </w:rPr>
      </w:pPr>
      <w:r w:rsidRPr="004B4CD2">
        <w:rPr>
          <w:rFonts w:asciiTheme="minorHAnsi" w:hAnsiTheme="minorHAnsi" w:cstheme="minorHAnsi"/>
          <w:sz w:val="22"/>
          <w:szCs w:val="22"/>
          <w:lang w:val="ru-RU"/>
        </w:rPr>
        <w:t xml:space="preserve">1. Податоци за Банката </w:t>
      </w:r>
    </w:p>
    <w:p w14:paraId="2BF95C17" w14:textId="7965C745" w:rsidR="004B4CD2" w:rsidRPr="004B4CD2" w:rsidRDefault="004B4CD2" w:rsidP="004B4CD2">
      <w:pPr>
        <w:rPr>
          <w:rFonts w:asciiTheme="minorHAnsi" w:hAnsiTheme="minorHAnsi" w:cstheme="minorHAnsi"/>
          <w:sz w:val="22"/>
          <w:szCs w:val="22"/>
          <w:lang w:val="ru-RU"/>
        </w:rPr>
      </w:pPr>
      <w:r w:rsidRPr="004B4CD2">
        <w:rPr>
          <w:rFonts w:asciiTheme="minorHAnsi" w:hAnsiTheme="minorHAnsi" w:cstheme="minorHAnsi"/>
          <w:sz w:val="22"/>
          <w:szCs w:val="22"/>
          <w:lang w:val="ru-RU"/>
        </w:rPr>
        <w:t xml:space="preserve">2. Податоци за акционерската структура на Банката - акционери со квалификувано учество </w:t>
      </w:r>
    </w:p>
    <w:p w14:paraId="184EA4A4" w14:textId="77777777" w:rsidR="004B4CD2" w:rsidRPr="004B4CD2" w:rsidRDefault="004B4CD2" w:rsidP="004B4CD2">
      <w:pPr>
        <w:rPr>
          <w:rFonts w:asciiTheme="minorHAnsi" w:hAnsiTheme="minorHAnsi" w:cstheme="minorHAnsi"/>
          <w:sz w:val="22"/>
          <w:szCs w:val="22"/>
          <w:lang w:val="ru-RU"/>
        </w:rPr>
      </w:pPr>
      <w:r w:rsidRPr="004B4CD2">
        <w:rPr>
          <w:rFonts w:asciiTheme="minorHAnsi" w:hAnsiTheme="minorHAnsi" w:cstheme="minorHAnsi"/>
          <w:sz w:val="22"/>
          <w:szCs w:val="22"/>
          <w:lang w:val="ru-RU"/>
        </w:rPr>
        <w:t xml:space="preserve">3. Податоци за сопствените средства и за адекватноста на капиталот на Банката </w:t>
      </w:r>
    </w:p>
    <w:p w14:paraId="1C0EE998" w14:textId="77777777" w:rsidR="004B4CD2" w:rsidRPr="004B4CD2" w:rsidRDefault="004B4CD2" w:rsidP="004B4CD2">
      <w:pPr>
        <w:rPr>
          <w:rFonts w:asciiTheme="minorHAnsi" w:hAnsiTheme="minorHAnsi" w:cstheme="minorHAnsi"/>
          <w:sz w:val="22"/>
          <w:szCs w:val="22"/>
          <w:lang w:val="mk-MK"/>
        </w:rPr>
      </w:pPr>
      <w:r w:rsidRPr="004B4CD2">
        <w:rPr>
          <w:rFonts w:asciiTheme="minorHAnsi" w:hAnsiTheme="minorHAnsi" w:cstheme="minorHAnsi"/>
          <w:sz w:val="22"/>
          <w:szCs w:val="22"/>
          <w:lang w:val="ru-RU"/>
        </w:rPr>
        <w:t>4. Податоци за процесот на управување со ризиците</w:t>
      </w:r>
    </w:p>
    <w:p w14:paraId="032420AC" w14:textId="77777777" w:rsidR="004B4CD2" w:rsidRPr="004B4CD2" w:rsidRDefault="004B4CD2" w:rsidP="004B4CD2">
      <w:pPr>
        <w:rPr>
          <w:rFonts w:asciiTheme="minorHAnsi" w:hAnsiTheme="minorHAnsi" w:cstheme="minorHAnsi"/>
          <w:sz w:val="22"/>
          <w:szCs w:val="22"/>
          <w:lang w:val="ru-RU"/>
        </w:rPr>
      </w:pPr>
      <w:r w:rsidRPr="004B4CD2">
        <w:rPr>
          <w:rFonts w:asciiTheme="minorHAnsi" w:hAnsiTheme="minorHAnsi" w:cstheme="minorHAnsi"/>
          <w:sz w:val="22"/>
          <w:szCs w:val="22"/>
          <w:lang w:val="ru-RU"/>
        </w:rPr>
        <w:t>4.1 Податоци за управување со кредитниот ризик</w:t>
      </w:r>
    </w:p>
    <w:p w14:paraId="1C061FA8" w14:textId="77777777" w:rsidR="004B4CD2" w:rsidRPr="004B4CD2" w:rsidRDefault="004B4CD2" w:rsidP="004B4CD2">
      <w:pPr>
        <w:rPr>
          <w:rFonts w:asciiTheme="minorHAnsi" w:hAnsiTheme="minorHAnsi" w:cstheme="minorHAnsi"/>
          <w:sz w:val="22"/>
          <w:szCs w:val="22"/>
          <w:lang w:val="ru-RU"/>
        </w:rPr>
      </w:pPr>
      <w:r w:rsidRPr="004B4CD2">
        <w:rPr>
          <w:rFonts w:asciiTheme="minorHAnsi" w:hAnsiTheme="minorHAnsi" w:cstheme="minorHAnsi"/>
          <w:sz w:val="22"/>
          <w:szCs w:val="22"/>
          <w:lang w:val="ru-RU"/>
        </w:rPr>
        <w:t>4.2 Податоци за управување со пазарниот ризик</w:t>
      </w:r>
    </w:p>
    <w:p w14:paraId="31F93A37" w14:textId="77777777" w:rsidR="004B4CD2" w:rsidRPr="004B4CD2" w:rsidRDefault="004B4CD2" w:rsidP="004B4CD2">
      <w:pPr>
        <w:rPr>
          <w:rFonts w:asciiTheme="minorHAnsi" w:hAnsiTheme="minorHAnsi" w:cstheme="minorHAnsi"/>
          <w:sz w:val="22"/>
          <w:szCs w:val="22"/>
          <w:lang w:val="ru-RU"/>
        </w:rPr>
      </w:pPr>
      <w:r w:rsidRPr="004B4CD2">
        <w:rPr>
          <w:rFonts w:asciiTheme="minorHAnsi" w:hAnsiTheme="minorHAnsi" w:cstheme="minorHAnsi"/>
          <w:sz w:val="22"/>
          <w:szCs w:val="22"/>
          <w:lang w:val="ru-RU"/>
        </w:rPr>
        <w:t>4.3 Податоци за управувањето со оперативниот ризик</w:t>
      </w:r>
    </w:p>
    <w:p w14:paraId="413B13B7" w14:textId="77777777" w:rsidR="004B4CD2" w:rsidRPr="004B4CD2" w:rsidRDefault="004B4CD2" w:rsidP="004B4CD2">
      <w:pPr>
        <w:rPr>
          <w:rFonts w:asciiTheme="minorHAnsi" w:hAnsiTheme="minorHAnsi" w:cstheme="minorHAnsi"/>
          <w:sz w:val="22"/>
          <w:szCs w:val="22"/>
          <w:lang w:val="ru-RU"/>
        </w:rPr>
      </w:pPr>
      <w:r w:rsidRPr="004B4CD2">
        <w:rPr>
          <w:rFonts w:asciiTheme="minorHAnsi" w:hAnsiTheme="minorHAnsi" w:cstheme="minorHAnsi"/>
          <w:sz w:val="22"/>
          <w:szCs w:val="22"/>
          <w:lang w:val="ru-RU"/>
        </w:rPr>
        <w:t>4.4 Податоци за ризикот кој произлегува од капиталните вложувања (стекнување капитални де</w:t>
      </w:r>
      <w:r w:rsidRPr="004B4CD2">
        <w:rPr>
          <w:rFonts w:asciiTheme="minorHAnsi" w:hAnsiTheme="minorHAnsi" w:cstheme="minorHAnsi"/>
          <w:sz w:val="22"/>
          <w:szCs w:val="22"/>
          <w:lang w:val="ru-RU"/>
        </w:rPr>
        <w:softHyphen/>
        <w:t>лови), кои не се дел од портфолиото за тргување</w:t>
      </w:r>
    </w:p>
    <w:p w14:paraId="1270351D" w14:textId="77777777" w:rsidR="004B4CD2" w:rsidRPr="004B4CD2" w:rsidRDefault="004B4CD2" w:rsidP="004B4CD2">
      <w:pPr>
        <w:rPr>
          <w:rFonts w:asciiTheme="minorHAnsi" w:hAnsiTheme="minorHAnsi" w:cstheme="minorHAnsi"/>
          <w:sz w:val="22"/>
          <w:szCs w:val="22"/>
          <w:lang w:val="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1"/>
        <w:gridCol w:w="7836"/>
      </w:tblGrid>
      <w:tr w:rsidR="004B4CD2" w:rsidRPr="004B4CD2" w14:paraId="5826B0E2" w14:textId="77777777" w:rsidTr="00404624">
        <w:tc>
          <w:tcPr>
            <w:tcW w:w="9747" w:type="dxa"/>
            <w:gridSpan w:val="2"/>
            <w:shd w:val="clear" w:color="auto" w:fill="000082"/>
          </w:tcPr>
          <w:p w14:paraId="75B26702" w14:textId="77777777" w:rsidR="004B4CD2" w:rsidRPr="004B4CD2" w:rsidRDefault="004B4CD2" w:rsidP="00404624">
            <w:pPr>
              <w:rPr>
                <w:rFonts w:asciiTheme="minorHAnsi" w:hAnsiTheme="minorHAnsi" w:cstheme="minorHAnsi"/>
                <w:b/>
                <w:lang w:val="mk-MK"/>
              </w:rPr>
            </w:pPr>
            <w:r w:rsidRPr="004B4CD2">
              <w:rPr>
                <w:rFonts w:asciiTheme="minorHAnsi" w:hAnsiTheme="minorHAnsi" w:cstheme="minorHAnsi"/>
                <w:b/>
                <w:sz w:val="22"/>
                <w:szCs w:val="22"/>
              </w:rPr>
              <w:t xml:space="preserve">1. </w:t>
            </w:r>
            <w:r w:rsidRPr="004B4CD2">
              <w:rPr>
                <w:rFonts w:asciiTheme="minorHAnsi" w:hAnsiTheme="minorHAnsi" w:cstheme="minorHAnsi"/>
                <w:b/>
                <w:sz w:val="22"/>
                <w:szCs w:val="22"/>
                <w:lang w:val="mk-MK"/>
              </w:rPr>
              <w:t>ПОДАТОЦИ ЗА БАНКАТА</w:t>
            </w:r>
          </w:p>
        </w:tc>
      </w:tr>
      <w:tr w:rsidR="004B4CD2" w:rsidRPr="004B4CD2" w14:paraId="0832F751" w14:textId="77777777" w:rsidTr="00404624">
        <w:trPr>
          <w:trHeight w:val="295"/>
        </w:trPr>
        <w:tc>
          <w:tcPr>
            <w:tcW w:w="1911" w:type="dxa"/>
            <w:vAlign w:val="center"/>
          </w:tcPr>
          <w:p w14:paraId="5F5CC35D" w14:textId="77777777" w:rsidR="004B4CD2" w:rsidRPr="004B4CD2" w:rsidRDefault="004B4CD2" w:rsidP="00404624">
            <w:pPr>
              <w:rPr>
                <w:rFonts w:asciiTheme="minorHAnsi" w:hAnsiTheme="minorHAnsi" w:cstheme="minorHAnsi"/>
                <w:lang w:val="mk-MK"/>
              </w:rPr>
            </w:pPr>
            <w:r w:rsidRPr="004B4CD2">
              <w:rPr>
                <w:rFonts w:asciiTheme="minorHAnsi" w:hAnsiTheme="minorHAnsi" w:cstheme="minorHAnsi"/>
                <w:sz w:val="22"/>
                <w:szCs w:val="22"/>
                <w:lang w:val="mk-MK"/>
              </w:rPr>
              <w:t>- Назив</w:t>
            </w:r>
          </w:p>
          <w:p w14:paraId="04BFAAE5" w14:textId="77777777" w:rsidR="004B4CD2" w:rsidRPr="004B4CD2" w:rsidRDefault="004B4CD2" w:rsidP="00404624">
            <w:pPr>
              <w:rPr>
                <w:rFonts w:asciiTheme="minorHAnsi" w:hAnsiTheme="minorHAnsi" w:cstheme="minorHAnsi"/>
                <w:lang w:val="mk-MK"/>
              </w:rPr>
            </w:pPr>
            <w:r w:rsidRPr="004B4CD2">
              <w:rPr>
                <w:rFonts w:asciiTheme="minorHAnsi" w:hAnsiTheme="minorHAnsi" w:cstheme="minorHAnsi"/>
                <w:sz w:val="22"/>
                <w:szCs w:val="22"/>
                <w:lang w:val="mk-MK"/>
              </w:rPr>
              <w:t>- Матичен број</w:t>
            </w:r>
          </w:p>
          <w:p w14:paraId="480BBA14" w14:textId="77777777" w:rsidR="004B4CD2" w:rsidRPr="004B4CD2" w:rsidRDefault="004B4CD2" w:rsidP="00404624">
            <w:pPr>
              <w:rPr>
                <w:rFonts w:asciiTheme="minorHAnsi" w:hAnsiTheme="minorHAnsi" w:cstheme="minorHAnsi"/>
                <w:lang w:val="mk-MK"/>
              </w:rPr>
            </w:pPr>
            <w:r w:rsidRPr="004B4CD2">
              <w:rPr>
                <w:rFonts w:asciiTheme="minorHAnsi" w:hAnsiTheme="minorHAnsi" w:cstheme="minorHAnsi"/>
                <w:sz w:val="22"/>
                <w:szCs w:val="22"/>
                <w:lang w:val="mk-MK"/>
              </w:rPr>
              <w:t>- Седиште</w:t>
            </w:r>
          </w:p>
        </w:tc>
        <w:tc>
          <w:tcPr>
            <w:tcW w:w="7836" w:type="dxa"/>
            <w:vAlign w:val="center"/>
          </w:tcPr>
          <w:p w14:paraId="04EE7586" w14:textId="77777777" w:rsidR="004B4CD2" w:rsidRPr="004B4CD2" w:rsidRDefault="004B4CD2" w:rsidP="00404624">
            <w:pPr>
              <w:rPr>
                <w:rFonts w:asciiTheme="minorHAnsi" w:hAnsiTheme="minorHAnsi" w:cstheme="minorHAnsi"/>
                <w:lang w:val="mk-MK"/>
              </w:rPr>
            </w:pPr>
            <w:r w:rsidRPr="004B4CD2">
              <w:rPr>
                <w:rFonts w:asciiTheme="minorHAnsi" w:hAnsiTheme="minorHAnsi" w:cstheme="minorHAnsi"/>
                <w:sz w:val="22"/>
                <w:szCs w:val="22"/>
                <w:lang w:val="mk-MK"/>
              </w:rPr>
              <w:t>- Силк Роуд Банка АД Скопје</w:t>
            </w:r>
          </w:p>
          <w:p w14:paraId="4B1F4A81" w14:textId="77777777" w:rsidR="004B4CD2" w:rsidRPr="004B4CD2" w:rsidRDefault="004B4CD2" w:rsidP="00404624">
            <w:pPr>
              <w:rPr>
                <w:rFonts w:asciiTheme="minorHAnsi" w:hAnsiTheme="minorHAnsi" w:cstheme="minorHAnsi"/>
                <w:lang w:val="mk-MK"/>
              </w:rPr>
            </w:pPr>
            <w:r w:rsidRPr="004B4CD2">
              <w:rPr>
                <w:rFonts w:asciiTheme="minorHAnsi" w:hAnsiTheme="minorHAnsi" w:cstheme="minorHAnsi"/>
                <w:sz w:val="22"/>
                <w:szCs w:val="22"/>
                <w:lang w:val="mk-MK"/>
              </w:rPr>
              <w:t>- МБ 4633148</w:t>
            </w:r>
          </w:p>
          <w:p w14:paraId="0A7A12E1" w14:textId="77777777" w:rsidR="004B4CD2" w:rsidRPr="004B4CD2" w:rsidRDefault="004B4CD2" w:rsidP="00404624">
            <w:pPr>
              <w:rPr>
                <w:rFonts w:asciiTheme="minorHAnsi" w:hAnsiTheme="minorHAnsi" w:cstheme="minorHAnsi"/>
                <w:lang w:val="mk-MK"/>
              </w:rPr>
            </w:pPr>
            <w:r w:rsidRPr="004B4CD2">
              <w:rPr>
                <w:rFonts w:asciiTheme="minorHAnsi" w:hAnsiTheme="minorHAnsi" w:cstheme="minorHAnsi"/>
                <w:sz w:val="22"/>
                <w:szCs w:val="22"/>
                <w:lang w:val="mk-MK"/>
              </w:rPr>
              <w:t>- Даме Груев 1, п. фах 564, 1000 Скопје</w:t>
            </w:r>
          </w:p>
        </w:tc>
      </w:tr>
      <w:tr w:rsidR="004B4CD2" w:rsidRPr="004B4CD2" w14:paraId="0FE1AF18" w14:textId="77777777" w:rsidTr="00404624">
        <w:trPr>
          <w:trHeight w:val="536"/>
        </w:trPr>
        <w:tc>
          <w:tcPr>
            <w:tcW w:w="1911" w:type="dxa"/>
            <w:vAlign w:val="center"/>
          </w:tcPr>
          <w:p w14:paraId="26468D08" w14:textId="77777777" w:rsidR="004B4CD2" w:rsidRPr="004B4CD2" w:rsidRDefault="004B4CD2" w:rsidP="00404624">
            <w:pPr>
              <w:rPr>
                <w:rFonts w:asciiTheme="minorHAnsi" w:hAnsiTheme="minorHAnsi" w:cstheme="minorHAnsi"/>
                <w:lang w:val="mk-MK"/>
              </w:rPr>
            </w:pPr>
            <w:r w:rsidRPr="004B4CD2">
              <w:rPr>
                <w:rFonts w:asciiTheme="minorHAnsi" w:hAnsiTheme="minorHAnsi" w:cstheme="minorHAnsi"/>
                <w:sz w:val="22"/>
                <w:szCs w:val="22"/>
                <w:lang w:val="mk-MK"/>
              </w:rPr>
              <w:t>- Организациска структура</w:t>
            </w:r>
          </w:p>
          <w:p w14:paraId="7B9D44FE" w14:textId="4551C55A" w:rsidR="004B4CD2" w:rsidRPr="00893E6E" w:rsidRDefault="004B4CD2" w:rsidP="00404624">
            <w:pPr>
              <w:rPr>
                <w:rFonts w:asciiTheme="minorHAnsi" w:hAnsiTheme="minorHAnsi" w:cstheme="minorHAnsi"/>
                <w:lang w:val="mk-MK"/>
              </w:rPr>
            </w:pPr>
            <w:r w:rsidRPr="004B4CD2">
              <w:rPr>
                <w:rFonts w:asciiTheme="minorHAnsi" w:hAnsiTheme="minorHAnsi" w:cstheme="minorHAnsi"/>
                <w:sz w:val="22"/>
                <w:szCs w:val="22"/>
                <w:lang w:val="mk-MK"/>
              </w:rPr>
              <w:t xml:space="preserve">- Број на вработени на </w:t>
            </w:r>
            <w:r w:rsidRPr="004B4CD2">
              <w:rPr>
                <w:rFonts w:asciiTheme="minorHAnsi" w:hAnsiTheme="minorHAnsi" w:cstheme="minorHAnsi"/>
                <w:sz w:val="22"/>
                <w:szCs w:val="22"/>
                <w:lang w:val="en-US"/>
              </w:rPr>
              <w:t>3</w:t>
            </w:r>
            <w:r w:rsidR="00893E6E">
              <w:rPr>
                <w:rFonts w:asciiTheme="minorHAnsi" w:hAnsiTheme="minorHAnsi" w:cstheme="minorHAnsi"/>
                <w:sz w:val="22"/>
                <w:szCs w:val="22"/>
                <w:lang w:val="en-US"/>
              </w:rPr>
              <w:t>0</w:t>
            </w:r>
            <w:r w:rsidRPr="004B4CD2">
              <w:rPr>
                <w:rFonts w:asciiTheme="minorHAnsi" w:hAnsiTheme="minorHAnsi" w:cstheme="minorHAnsi"/>
                <w:sz w:val="22"/>
                <w:szCs w:val="22"/>
                <w:lang w:val="en-US"/>
              </w:rPr>
              <w:t>.</w:t>
            </w:r>
            <w:r w:rsidR="00893E6E">
              <w:rPr>
                <w:rFonts w:asciiTheme="minorHAnsi" w:hAnsiTheme="minorHAnsi" w:cstheme="minorHAnsi"/>
                <w:sz w:val="22"/>
                <w:szCs w:val="22"/>
                <w:lang w:val="en-US"/>
              </w:rPr>
              <w:t>06</w:t>
            </w:r>
            <w:r w:rsidRPr="004B4CD2">
              <w:rPr>
                <w:rFonts w:asciiTheme="minorHAnsi" w:hAnsiTheme="minorHAnsi" w:cstheme="minorHAnsi"/>
                <w:sz w:val="22"/>
                <w:szCs w:val="22"/>
                <w:lang w:val="en-US"/>
              </w:rPr>
              <w:t>.</w:t>
            </w:r>
            <w:r w:rsidR="00561AFC" w:rsidRPr="004B4CD2">
              <w:rPr>
                <w:rFonts w:asciiTheme="minorHAnsi" w:hAnsiTheme="minorHAnsi" w:cstheme="minorHAnsi"/>
                <w:sz w:val="22"/>
                <w:szCs w:val="22"/>
                <w:lang w:val="en-US"/>
              </w:rPr>
              <w:t>20</w:t>
            </w:r>
            <w:r w:rsidR="00561AFC">
              <w:rPr>
                <w:rFonts w:asciiTheme="minorHAnsi" w:hAnsiTheme="minorHAnsi" w:cstheme="minorHAnsi"/>
                <w:sz w:val="22"/>
                <w:szCs w:val="22"/>
                <w:lang w:val="mk-MK"/>
              </w:rPr>
              <w:t>2</w:t>
            </w:r>
            <w:r w:rsidR="00561AFC">
              <w:rPr>
                <w:rFonts w:asciiTheme="minorHAnsi" w:hAnsiTheme="minorHAnsi" w:cstheme="minorHAnsi"/>
                <w:sz w:val="22"/>
                <w:szCs w:val="22"/>
                <w:lang w:val="en-US"/>
              </w:rPr>
              <w:t>2</w:t>
            </w:r>
          </w:p>
        </w:tc>
        <w:tc>
          <w:tcPr>
            <w:tcW w:w="7836" w:type="dxa"/>
            <w:vAlign w:val="center"/>
          </w:tcPr>
          <w:p w14:paraId="5B6CC35A" w14:textId="77777777" w:rsidR="004B4CD2" w:rsidRPr="004B4CD2" w:rsidRDefault="00F02336" w:rsidP="00404624">
            <w:pPr>
              <w:spacing w:line="195" w:lineRule="atLeast"/>
              <w:rPr>
                <w:rFonts w:asciiTheme="minorHAnsi" w:hAnsiTheme="minorHAnsi" w:cstheme="minorHAnsi"/>
                <w:lang w:val="mk-MK"/>
              </w:rPr>
            </w:pPr>
            <w:hyperlink w:anchor="orgmkd" w:history="1">
              <w:r w:rsidR="004B4CD2" w:rsidRPr="004B4CD2">
                <w:rPr>
                  <w:rStyle w:val="Hyperlink"/>
                  <w:rFonts w:asciiTheme="minorHAnsi" w:hAnsiTheme="minorHAnsi" w:cstheme="minorHAnsi"/>
                  <w:sz w:val="22"/>
                  <w:szCs w:val="22"/>
                  <w:lang w:val="mk-MK"/>
                </w:rPr>
                <w:t>Организациска структура на Банката</w:t>
              </w:r>
            </w:hyperlink>
          </w:p>
          <w:p w14:paraId="768F2FEE" w14:textId="77777777" w:rsidR="004B4CD2" w:rsidRPr="004B4CD2" w:rsidRDefault="004B4CD2" w:rsidP="00404624">
            <w:pPr>
              <w:rPr>
                <w:rFonts w:asciiTheme="minorHAnsi" w:hAnsiTheme="minorHAnsi" w:cstheme="minorHAnsi"/>
                <w:lang w:val="en-US"/>
              </w:rPr>
            </w:pPr>
          </w:p>
          <w:p w14:paraId="6E2EAE4D" w14:textId="77777777" w:rsidR="004B4CD2" w:rsidRPr="00836A77" w:rsidRDefault="007721DB" w:rsidP="00404624">
            <w:pPr>
              <w:rPr>
                <w:rFonts w:asciiTheme="minorHAnsi" w:hAnsiTheme="minorHAnsi" w:cstheme="minorHAnsi"/>
                <w:lang w:val="en-US"/>
              </w:rPr>
            </w:pPr>
            <w:r>
              <w:rPr>
                <w:rFonts w:asciiTheme="minorHAnsi" w:hAnsiTheme="minorHAnsi" w:cstheme="minorHAnsi"/>
                <w:sz w:val="22"/>
                <w:szCs w:val="22"/>
                <w:lang w:val="mk-MK"/>
              </w:rPr>
              <w:t>151</w:t>
            </w:r>
          </w:p>
        </w:tc>
      </w:tr>
      <w:tr w:rsidR="004B4CD2" w:rsidRPr="004B4CD2" w14:paraId="595B597C" w14:textId="77777777" w:rsidTr="007721DB">
        <w:trPr>
          <w:trHeight w:val="3105"/>
        </w:trPr>
        <w:tc>
          <w:tcPr>
            <w:tcW w:w="1911" w:type="dxa"/>
          </w:tcPr>
          <w:p w14:paraId="6006ED94" w14:textId="512813F5" w:rsidR="004B4CD2" w:rsidRPr="004B4CD2" w:rsidRDefault="004B4CD2" w:rsidP="00404624">
            <w:pPr>
              <w:rPr>
                <w:rFonts w:asciiTheme="minorHAnsi" w:hAnsiTheme="minorHAnsi" w:cstheme="minorHAnsi"/>
                <w:lang w:val="mk-MK"/>
              </w:rPr>
            </w:pPr>
            <w:r w:rsidRPr="004B4CD2">
              <w:rPr>
                <w:rFonts w:asciiTheme="minorHAnsi" w:hAnsiTheme="minorHAnsi" w:cstheme="minorHAnsi"/>
                <w:sz w:val="22"/>
                <w:szCs w:val="22"/>
                <w:lang w:val="mk-MK"/>
              </w:rPr>
              <w:t xml:space="preserve">Преглед на финансиски активности кои може да ги врши согласно со дозволата за основање и работење издадена од Гувернерот на НБРМ (Решение бр. </w:t>
            </w:r>
            <w:r w:rsidRPr="004B4CD2">
              <w:rPr>
                <w:rFonts w:asciiTheme="minorHAnsi" w:hAnsiTheme="minorHAnsi" w:cstheme="minorHAnsi"/>
                <w:sz w:val="22"/>
                <w:szCs w:val="22"/>
                <w:lang w:val="en-US"/>
              </w:rPr>
              <w:t>15805</w:t>
            </w:r>
            <w:r w:rsidRPr="004B4CD2">
              <w:rPr>
                <w:rFonts w:asciiTheme="minorHAnsi" w:hAnsiTheme="minorHAnsi" w:cstheme="minorHAnsi"/>
                <w:sz w:val="22"/>
                <w:szCs w:val="22"/>
                <w:lang w:val="mk-MK"/>
              </w:rPr>
              <w:t xml:space="preserve"> од </w:t>
            </w:r>
            <w:r w:rsidRPr="004B4CD2">
              <w:rPr>
                <w:rFonts w:asciiTheme="minorHAnsi" w:hAnsiTheme="minorHAnsi" w:cstheme="minorHAnsi"/>
                <w:sz w:val="22"/>
                <w:szCs w:val="22"/>
                <w:lang w:val="en-US"/>
              </w:rPr>
              <w:t>30</w:t>
            </w:r>
            <w:r w:rsidRPr="004B4CD2">
              <w:rPr>
                <w:rFonts w:asciiTheme="minorHAnsi" w:hAnsiTheme="minorHAnsi" w:cstheme="minorHAnsi"/>
                <w:sz w:val="22"/>
                <w:szCs w:val="22"/>
                <w:lang w:val="mk-MK"/>
              </w:rPr>
              <w:t>.</w:t>
            </w:r>
            <w:r w:rsidRPr="004B4CD2">
              <w:rPr>
                <w:rFonts w:asciiTheme="minorHAnsi" w:hAnsiTheme="minorHAnsi" w:cstheme="minorHAnsi"/>
                <w:sz w:val="22"/>
                <w:szCs w:val="22"/>
                <w:lang w:val="en-US"/>
              </w:rPr>
              <w:t>04</w:t>
            </w:r>
            <w:r w:rsidRPr="004B4CD2">
              <w:rPr>
                <w:rFonts w:asciiTheme="minorHAnsi" w:hAnsiTheme="minorHAnsi" w:cstheme="minorHAnsi"/>
                <w:sz w:val="22"/>
                <w:szCs w:val="22"/>
                <w:lang w:val="mk-MK"/>
              </w:rPr>
              <w:t>.20</w:t>
            </w:r>
            <w:r w:rsidRPr="004B4CD2">
              <w:rPr>
                <w:rFonts w:asciiTheme="minorHAnsi" w:hAnsiTheme="minorHAnsi" w:cstheme="minorHAnsi"/>
                <w:sz w:val="22"/>
                <w:szCs w:val="22"/>
                <w:lang w:val="en-US"/>
              </w:rPr>
              <w:t>13</w:t>
            </w:r>
            <w:r w:rsidR="00561AFC">
              <w:rPr>
                <w:rFonts w:asciiTheme="minorHAnsi" w:hAnsiTheme="minorHAnsi" w:cstheme="minorHAnsi"/>
                <w:sz w:val="22"/>
                <w:szCs w:val="22"/>
                <w:lang w:val="mk-MK"/>
              </w:rPr>
              <w:t xml:space="preserve"> година</w:t>
            </w:r>
            <w:r w:rsidRPr="004B4CD2">
              <w:rPr>
                <w:rFonts w:asciiTheme="minorHAnsi" w:hAnsiTheme="minorHAnsi" w:cstheme="minorHAnsi"/>
                <w:sz w:val="22"/>
                <w:szCs w:val="22"/>
                <w:lang w:val="mk-MK"/>
              </w:rPr>
              <w:t xml:space="preserve">) </w:t>
            </w:r>
          </w:p>
        </w:tc>
        <w:tc>
          <w:tcPr>
            <w:tcW w:w="7836" w:type="dxa"/>
          </w:tcPr>
          <w:p w14:paraId="04D53A02" w14:textId="77777777" w:rsidR="004B4CD2" w:rsidRPr="004B4CD2" w:rsidRDefault="004B4CD2" w:rsidP="00404624">
            <w:pPr>
              <w:numPr>
                <w:ilvl w:val="0"/>
                <w:numId w:val="1"/>
              </w:numPr>
              <w:rPr>
                <w:rFonts w:asciiTheme="minorHAnsi" w:hAnsiTheme="minorHAnsi" w:cstheme="minorHAnsi"/>
                <w:lang w:val="ru-RU"/>
              </w:rPr>
            </w:pPr>
            <w:r w:rsidRPr="004B4CD2">
              <w:rPr>
                <w:rFonts w:asciiTheme="minorHAnsi" w:hAnsiTheme="minorHAnsi" w:cstheme="minorHAnsi"/>
                <w:sz w:val="22"/>
                <w:szCs w:val="22"/>
                <w:lang w:val="mk-MK"/>
              </w:rPr>
              <w:t>Прибирање на депозити и други повратни извори средства</w:t>
            </w:r>
          </w:p>
          <w:p w14:paraId="031F2025" w14:textId="77777777" w:rsidR="004B4CD2" w:rsidRPr="004B4CD2" w:rsidRDefault="004B4CD2" w:rsidP="00404624">
            <w:pPr>
              <w:numPr>
                <w:ilvl w:val="0"/>
                <w:numId w:val="1"/>
              </w:numPr>
              <w:rPr>
                <w:rFonts w:asciiTheme="minorHAnsi" w:hAnsiTheme="minorHAnsi" w:cstheme="minorHAnsi"/>
                <w:lang w:val="ru-RU"/>
              </w:rPr>
            </w:pPr>
            <w:r w:rsidRPr="004B4CD2">
              <w:rPr>
                <w:rFonts w:asciiTheme="minorHAnsi" w:hAnsiTheme="minorHAnsi" w:cstheme="minorHAnsi"/>
                <w:sz w:val="22"/>
                <w:szCs w:val="22"/>
                <w:lang w:val="mk-MK"/>
              </w:rPr>
              <w:t>Кредитирање во земјата, вклучувајќи и факторинг и финансирање на комерцијални трансакции</w:t>
            </w:r>
          </w:p>
          <w:p w14:paraId="5C20CE82" w14:textId="77777777" w:rsidR="004B4CD2" w:rsidRPr="004B4CD2" w:rsidRDefault="004B4CD2" w:rsidP="00404624">
            <w:pPr>
              <w:numPr>
                <w:ilvl w:val="0"/>
                <w:numId w:val="1"/>
              </w:numPr>
              <w:rPr>
                <w:rFonts w:asciiTheme="minorHAnsi" w:hAnsiTheme="minorHAnsi" w:cstheme="minorHAnsi"/>
                <w:lang w:val="ru-RU"/>
              </w:rPr>
            </w:pPr>
            <w:r w:rsidRPr="004B4CD2">
              <w:rPr>
                <w:rFonts w:asciiTheme="minorHAnsi" w:hAnsiTheme="minorHAnsi" w:cstheme="minorHAnsi"/>
                <w:sz w:val="22"/>
                <w:szCs w:val="22"/>
                <w:lang w:val="mk-MK"/>
              </w:rPr>
              <w:t>Кредитирање во странство, вклучувајќи и факторинг и финансирање на комерцијални трансакции</w:t>
            </w:r>
          </w:p>
          <w:p w14:paraId="719F2B5D" w14:textId="77777777" w:rsidR="004B4CD2" w:rsidRPr="004B4CD2" w:rsidRDefault="004B4CD2" w:rsidP="00404624">
            <w:pPr>
              <w:numPr>
                <w:ilvl w:val="0"/>
                <w:numId w:val="1"/>
              </w:numPr>
              <w:rPr>
                <w:rFonts w:asciiTheme="minorHAnsi" w:hAnsiTheme="minorHAnsi" w:cstheme="minorHAnsi"/>
                <w:lang w:val="ru-RU"/>
              </w:rPr>
            </w:pPr>
            <w:r w:rsidRPr="004B4CD2">
              <w:rPr>
                <w:rFonts w:asciiTheme="minorHAnsi" w:hAnsiTheme="minorHAnsi" w:cstheme="minorHAnsi"/>
                <w:sz w:val="22"/>
                <w:szCs w:val="22"/>
                <w:lang w:val="mk-MK"/>
              </w:rPr>
              <w:t>Издавање и администрирање на платежни средства (парични картички, чекови, патнички чекови, меници)</w:t>
            </w:r>
          </w:p>
          <w:p w14:paraId="024F9356" w14:textId="77777777" w:rsidR="004B4CD2" w:rsidRPr="004B4CD2" w:rsidRDefault="004B4CD2" w:rsidP="00404624">
            <w:pPr>
              <w:numPr>
                <w:ilvl w:val="0"/>
                <w:numId w:val="1"/>
              </w:numPr>
              <w:rPr>
                <w:rFonts w:asciiTheme="minorHAnsi" w:hAnsiTheme="minorHAnsi" w:cstheme="minorHAnsi"/>
              </w:rPr>
            </w:pPr>
            <w:r w:rsidRPr="004B4CD2">
              <w:rPr>
                <w:rFonts w:asciiTheme="minorHAnsi" w:hAnsiTheme="minorHAnsi" w:cstheme="minorHAnsi"/>
                <w:sz w:val="22"/>
                <w:szCs w:val="22"/>
                <w:lang w:val="mk-MK"/>
              </w:rPr>
              <w:t>Финансиски лизинг</w:t>
            </w:r>
          </w:p>
          <w:p w14:paraId="41D40A28" w14:textId="77777777" w:rsidR="004B4CD2" w:rsidRPr="004B4CD2" w:rsidRDefault="004B4CD2" w:rsidP="00404624">
            <w:pPr>
              <w:numPr>
                <w:ilvl w:val="0"/>
                <w:numId w:val="1"/>
              </w:numPr>
              <w:rPr>
                <w:rFonts w:asciiTheme="minorHAnsi" w:hAnsiTheme="minorHAnsi" w:cstheme="minorHAnsi"/>
              </w:rPr>
            </w:pPr>
            <w:r w:rsidRPr="004B4CD2">
              <w:rPr>
                <w:rFonts w:asciiTheme="minorHAnsi" w:hAnsiTheme="minorHAnsi" w:cstheme="minorHAnsi"/>
                <w:sz w:val="22"/>
                <w:szCs w:val="22"/>
                <w:lang w:val="mk-MK"/>
              </w:rPr>
              <w:t>Менувачки работи</w:t>
            </w:r>
          </w:p>
          <w:p w14:paraId="7E96780C" w14:textId="77777777" w:rsidR="004B4CD2" w:rsidRPr="004B4CD2" w:rsidRDefault="004B4CD2" w:rsidP="00404624">
            <w:pPr>
              <w:numPr>
                <w:ilvl w:val="0"/>
                <w:numId w:val="1"/>
              </w:numPr>
              <w:rPr>
                <w:rFonts w:asciiTheme="minorHAnsi" w:hAnsiTheme="minorHAnsi" w:cstheme="minorHAnsi"/>
                <w:lang w:val="ru-RU"/>
              </w:rPr>
            </w:pPr>
            <w:r w:rsidRPr="004B4CD2">
              <w:rPr>
                <w:rFonts w:asciiTheme="minorHAnsi" w:hAnsiTheme="minorHAnsi" w:cstheme="minorHAnsi"/>
                <w:sz w:val="22"/>
                <w:szCs w:val="22"/>
                <w:lang w:val="mk-MK"/>
              </w:rPr>
              <w:t>Платен промет во земјата и странство, вклучувајќи купопродажба на девизи</w:t>
            </w:r>
          </w:p>
          <w:p w14:paraId="6D885B31" w14:textId="77777777" w:rsidR="004B4CD2" w:rsidRPr="004B4CD2" w:rsidRDefault="004B4CD2" w:rsidP="00404624">
            <w:pPr>
              <w:numPr>
                <w:ilvl w:val="0"/>
                <w:numId w:val="1"/>
              </w:numPr>
              <w:rPr>
                <w:rFonts w:asciiTheme="minorHAnsi" w:hAnsiTheme="minorHAnsi" w:cstheme="minorHAnsi"/>
                <w:lang w:val="ru-RU"/>
              </w:rPr>
            </w:pPr>
            <w:r w:rsidRPr="004B4CD2">
              <w:rPr>
                <w:rFonts w:asciiTheme="minorHAnsi" w:hAnsiTheme="minorHAnsi" w:cstheme="minorHAnsi"/>
                <w:sz w:val="22"/>
                <w:szCs w:val="22"/>
                <w:lang w:val="ru-RU"/>
              </w:rPr>
              <w:t>Брз трансфер на пари</w:t>
            </w:r>
          </w:p>
          <w:p w14:paraId="231F6A4D" w14:textId="77777777" w:rsidR="004B4CD2" w:rsidRPr="004B4CD2" w:rsidRDefault="004B4CD2" w:rsidP="00404624">
            <w:pPr>
              <w:numPr>
                <w:ilvl w:val="0"/>
                <w:numId w:val="1"/>
              </w:numPr>
              <w:rPr>
                <w:rFonts w:asciiTheme="minorHAnsi" w:hAnsiTheme="minorHAnsi" w:cstheme="minorHAnsi"/>
                <w:lang w:val="ru-RU"/>
              </w:rPr>
            </w:pPr>
            <w:r w:rsidRPr="004B4CD2">
              <w:rPr>
                <w:rFonts w:asciiTheme="minorHAnsi" w:hAnsiTheme="minorHAnsi" w:cstheme="minorHAnsi"/>
                <w:sz w:val="22"/>
                <w:szCs w:val="22"/>
                <w:lang w:val="mk-MK"/>
              </w:rPr>
              <w:t>Издавање на платежни гаранции, авали и други форми на обезбедување</w:t>
            </w:r>
          </w:p>
          <w:p w14:paraId="073DDD6C" w14:textId="77777777" w:rsidR="004B4CD2" w:rsidRPr="004B4CD2" w:rsidRDefault="004B4CD2" w:rsidP="00404624">
            <w:pPr>
              <w:numPr>
                <w:ilvl w:val="0"/>
                <w:numId w:val="1"/>
              </w:numPr>
              <w:rPr>
                <w:rFonts w:asciiTheme="minorHAnsi" w:hAnsiTheme="minorHAnsi" w:cstheme="minorHAnsi"/>
              </w:rPr>
            </w:pPr>
            <w:r w:rsidRPr="004B4CD2">
              <w:rPr>
                <w:rFonts w:asciiTheme="minorHAnsi" w:hAnsiTheme="minorHAnsi" w:cstheme="minorHAnsi"/>
                <w:sz w:val="22"/>
                <w:szCs w:val="22"/>
                <w:lang w:val="mk-MK"/>
              </w:rPr>
              <w:t>Изнајмување сефови, остава и депо</w:t>
            </w:r>
          </w:p>
          <w:p w14:paraId="6B643CB7" w14:textId="77777777" w:rsidR="004B4CD2" w:rsidRPr="004B4CD2" w:rsidRDefault="004B4CD2" w:rsidP="00404624">
            <w:pPr>
              <w:numPr>
                <w:ilvl w:val="0"/>
                <w:numId w:val="1"/>
              </w:numPr>
              <w:rPr>
                <w:rFonts w:asciiTheme="minorHAnsi" w:hAnsiTheme="minorHAnsi" w:cstheme="minorHAnsi"/>
                <w:lang w:val="ru-RU"/>
              </w:rPr>
            </w:pPr>
            <w:r w:rsidRPr="004B4CD2">
              <w:rPr>
                <w:rFonts w:asciiTheme="minorHAnsi" w:hAnsiTheme="minorHAnsi" w:cstheme="minorHAnsi"/>
                <w:sz w:val="22"/>
                <w:szCs w:val="22"/>
                <w:lang w:val="mk-MK"/>
              </w:rPr>
              <w:t xml:space="preserve">Тргување со инструменти на пазарот на пари </w:t>
            </w:r>
          </w:p>
          <w:p w14:paraId="7F7A396E" w14:textId="77777777" w:rsidR="004B4CD2" w:rsidRPr="004B4CD2" w:rsidRDefault="004B4CD2" w:rsidP="00404624">
            <w:pPr>
              <w:numPr>
                <w:ilvl w:val="0"/>
                <w:numId w:val="1"/>
              </w:numPr>
              <w:rPr>
                <w:rFonts w:asciiTheme="minorHAnsi" w:hAnsiTheme="minorHAnsi" w:cstheme="minorHAnsi"/>
                <w:lang w:val="ru-RU"/>
              </w:rPr>
            </w:pPr>
            <w:r w:rsidRPr="004B4CD2">
              <w:rPr>
                <w:rFonts w:asciiTheme="minorHAnsi" w:hAnsiTheme="minorHAnsi" w:cstheme="minorHAnsi"/>
                <w:sz w:val="22"/>
                <w:szCs w:val="22"/>
                <w:lang w:val="mk-MK"/>
              </w:rPr>
              <w:t>Тргување со девизни средства, што вклучува и тргување со благородни метали</w:t>
            </w:r>
          </w:p>
          <w:p w14:paraId="0EFA2208" w14:textId="77777777" w:rsidR="004B4CD2" w:rsidRPr="004B4CD2" w:rsidRDefault="004B4CD2" w:rsidP="00404624">
            <w:pPr>
              <w:numPr>
                <w:ilvl w:val="0"/>
                <w:numId w:val="1"/>
              </w:numPr>
              <w:rPr>
                <w:rFonts w:asciiTheme="minorHAnsi" w:hAnsiTheme="minorHAnsi" w:cstheme="minorHAnsi"/>
              </w:rPr>
            </w:pPr>
            <w:r w:rsidRPr="004B4CD2">
              <w:rPr>
                <w:rFonts w:asciiTheme="minorHAnsi" w:hAnsiTheme="minorHAnsi" w:cstheme="minorHAnsi"/>
                <w:sz w:val="22"/>
                <w:szCs w:val="22"/>
                <w:lang w:val="mk-MK"/>
              </w:rPr>
              <w:lastRenderedPageBreak/>
              <w:t>Тргување со хартии од вредност</w:t>
            </w:r>
          </w:p>
          <w:p w14:paraId="2CF84421" w14:textId="77777777" w:rsidR="004B4CD2" w:rsidRPr="004B4CD2" w:rsidRDefault="004B4CD2" w:rsidP="00404624">
            <w:pPr>
              <w:numPr>
                <w:ilvl w:val="0"/>
                <w:numId w:val="1"/>
              </w:numPr>
              <w:rPr>
                <w:rFonts w:asciiTheme="minorHAnsi" w:hAnsiTheme="minorHAnsi" w:cstheme="minorHAnsi"/>
              </w:rPr>
            </w:pPr>
            <w:r w:rsidRPr="004B4CD2">
              <w:rPr>
                <w:rFonts w:asciiTheme="minorHAnsi" w:hAnsiTheme="minorHAnsi" w:cstheme="minorHAnsi"/>
                <w:sz w:val="22"/>
                <w:szCs w:val="22"/>
                <w:lang w:val="mk-MK"/>
              </w:rPr>
              <w:t>Чување на хартии од вредност за клиенти</w:t>
            </w:r>
          </w:p>
          <w:p w14:paraId="4B5A7ACF" w14:textId="77777777" w:rsidR="004B4CD2" w:rsidRPr="004B4CD2" w:rsidRDefault="004B4CD2" w:rsidP="00404624">
            <w:pPr>
              <w:numPr>
                <w:ilvl w:val="0"/>
                <w:numId w:val="1"/>
              </w:numPr>
              <w:rPr>
                <w:rFonts w:asciiTheme="minorHAnsi" w:hAnsiTheme="minorHAnsi" w:cstheme="minorHAnsi"/>
              </w:rPr>
            </w:pPr>
            <w:r w:rsidRPr="004B4CD2">
              <w:rPr>
                <w:rFonts w:asciiTheme="minorHAnsi" w:hAnsiTheme="minorHAnsi" w:cstheme="minorHAnsi"/>
                <w:sz w:val="22"/>
                <w:szCs w:val="22"/>
                <w:lang w:val="mk-MK"/>
              </w:rPr>
              <w:t>Советување на правни лица во врска со структурата на капиталот, деловната стратегија или други поврзани прашања или давање услуги со спојување или припојување на правни лица</w:t>
            </w:r>
          </w:p>
          <w:p w14:paraId="6926225A" w14:textId="29D1625A" w:rsidR="004B4CD2" w:rsidRPr="00836A77" w:rsidRDefault="004B4CD2" w:rsidP="00404624">
            <w:pPr>
              <w:numPr>
                <w:ilvl w:val="0"/>
                <w:numId w:val="1"/>
              </w:numPr>
              <w:rPr>
                <w:rFonts w:asciiTheme="minorHAnsi" w:hAnsiTheme="minorHAnsi" w:cstheme="minorHAnsi"/>
                <w:lang w:val="ru-RU"/>
              </w:rPr>
            </w:pPr>
            <w:r w:rsidRPr="004B4CD2">
              <w:rPr>
                <w:rFonts w:asciiTheme="minorHAnsi" w:hAnsiTheme="minorHAnsi" w:cstheme="minorHAnsi"/>
                <w:sz w:val="22"/>
                <w:szCs w:val="22"/>
                <w:lang w:val="mk-MK"/>
              </w:rPr>
              <w:t>Продажба на полиси за осигурување</w:t>
            </w:r>
          </w:p>
          <w:p w14:paraId="7700B7A6" w14:textId="77777777" w:rsidR="004B4CD2" w:rsidRPr="004B4CD2" w:rsidRDefault="004B4CD2" w:rsidP="00404624">
            <w:pPr>
              <w:numPr>
                <w:ilvl w:val="0"/>
                <w:numId w:val="1"/>
              </w:numPr>
              <w:rPr>
                <w:rFonts w:asciiTheme="minorHAnsi" w:hAnsiTheme="minorHAnsi" w:cstheme="minorHAnsi"/>
                <w:lang w:val="ru-RU"/>
              </w:rPr>
            </w:pPr>
            <w:r w:rsidRPr="004B4CD2">
              <w:rPr>
                <w:rFonts w:asciiTheme="minorHAnsi" w:hAnsiTheme="minorHAnsi" w:cstheme="minorHAnsi"/>
                <w:sz w:val="22"/>
                <w:szCs w:val="22"/>
                <w:lang w:val="mk-MK"/>
              </w:rPr>
              <w:t>Посредување во склучување договори за кредити и заеми</w:t>
            </w:r>
          </w:p>
          <w:p w14:paraId="71925D27" w14:textId="77777777" w:rsidR="004B4CD2" w:rsidRPr="004B4CD2" w:rsidRDefault="004B4CD2" w:rsidP="00404624">
            <w:pPr>
              <w:numPr>
                <w:ilvl w:val="0"/>
                <w:numId w:val="1"/>
              </w:numPr>
              <w:rPr>
                <w:rFonts w:asciiTheme="minorHAnsi" w:hAnsiTheme="minorHAnsi" w:cstheme="minorHAnsi"/>
                <w:lang w:val="ru-RU"/>
              </w:rPr>
            </w:pPr>
            <w:r w:rsidRPr="004B4CD2">
              <w:rPr>
                <w:rFonts w:asciiTheme="minorHAnsi" w:hAnsiTheme="minorHAnsi" w:cstheme="minorHAnsi"/>
                <w:sz w:val="22"/>
                <w:szCs w:val="22"/>
                <w:lang w:val="mk-MK"/>
              </w:rPr>
              <w:t>Обработка и анализа на информации за кредитна способност на правни лица и</w:t>
            </w:r>
          </w:p>
          <w:p w14:paraId="170C9922" w14:textId="77777777" w:rsidR="004B4CD2" w:rsidRPr="004B4CD2" w:rsidRDefault="004B4CD2" w:rsidP="00404624">
            <w:pPr>
              <w:numPr>
                <w:ilvl w:val="0"/>
                <w:numId w:val="1"/>
              </w:numPr>
              <w:rPr>
                <w:rFonts w:asciiTheme="minorHAnsi" w:hAnsiTheme="minorHAnsi" w:cstheme="minorHAnsi"/>
              </w:rPr>
            </w:pPr>
            <w:r w:rsidRPr="004B4CD2">
              <w:rPr>
                <w:rFonts w:asciiTheme="minorHAnsi" w:hAnsiTheme="minorHAnsi" w:cstheme="minorHAnsi"/>
                <w:sz w:val="22"/>
                <w:szCs w:val="22"/>
                <w:lang w:val="mk-MK"/>
              </w:rPr>
              <w:t>Економско - финансиски консалтинг</w:t>
            </w:r>
          </w:p>
        </w:tc>
      </w:tr>
      <w:tr w:rsidR="004B4CD2" w:rsidRPr="004B4CD2" w14:paraId="15665884" w14:textId="77777777" w:rsidTr="00404624">
        <w:trPr>
          <w:trHeight w:val="1244"/>
        </w:trPr>
        <w:tc>
          <w:tcPr>
            <w:tcW w:w="1911" w:type="dxa"/>
          </w:tcPr>
          <w:p w14:paraId="2084C35D" w14:textId="77777777" w:rsidR="004B4CD2" w:rsidRPr="004B4CD2" w:rsidRDefault="004B4CD2" w:rsidP="00404624">
            <w:pPr>
              <w:rPr>
                <w:rFonts w:asciiTheme="minorHAnsi" w:hAnsiTheme="minorHAnsi" w:cstheme="minorHAnsi"/>
                <w:lang w:val="mk-MK"/>
              </w:rPr>
            </w:pPr>
            <w:r w:rsidRPr="004B4CD2">
              <w:rPr>
                <w:rFonts w:asciiTheme="minorHAnsi" w:hAnsiTheme="minorHAnsi" w:cstheme="minorHAnsi"/>
                <w:sz w:val="22"/>
                <w:szCs w:val="22"/>
                <w:lang w:val="mk-MK"/>
              </w:rPr>
              <w:lastRenderedPageBreak/>
              <w:t>Преглед на финансиски активности кои во моментот ги врши</w:t>
            </w:r>
          </w:p>
        </w:tc>
        <w:tc>
          <w:tcPr>
            <w:tcW w:w="7836" w:type="dxa"/>
            <w:vAlign w:val="center"/>
          </w:tcPr>
          <w:p w14:paraId="20478E0B" w14:textId="77777777" w:rsidR="004B4CD2" w:rsidRPr="004B4CD2" w:rsidRDefault="004B4CD2" w:rsidP="00404624">
            <w:pPr>
              <w:numPr>
                <w:ilvl w:val="0"/>
                <w:numId w:val="1"/>
              </w:numPr>
              <w:rPr>
                <w:rFonts w:asciiTheme="minorHAnsi" w:hAnsiTheme="minorHAnsi" w:cstheme="minorHAnsi"/>
                <w:lang w:val="ru-RU"/>
              </w:rPr>
            </w:pPr>
            <w:r w:rsidRPr="004B4CD2">
              <w:rPr>
                <w:rFonts w:asciiTheme="minorHAnsi" w:hAnsiTheme="minorHAnsi" w:cstheme="minorHAnsi"/>
                <w:sz w:val="22"/>
                <w:szCs w:val="22"/>
                <w:lang w:val="mk-MK"/>
              </w:rPr>
              <w:t>Прибирање на депозити и други повратни извори на средства</w:t>
            </w:r>
          </w:p>
          <w:p w14:paraId="74210BDE" w14:textId="77777777" w:rsidR="004B4CD2" w:rsidRPr="004B4CD2" w:rsidRDefault="004B4CD2" w:rsidP="00404624">
            <w:pPr>
              <w:numPr>
                <w:ilvl w:val="0"/>
                <w:numId w:val="1"/>
              </w:numPr>
              <w:rPr>
                <w:rFonts w:asciiTheme="minorHAnsi" w:hAnsiTheme="minorHAnsi" w:cstheme="minorHAnsi"/>
                <w:lang w:val="ru-RU"/>
              </w:rPr>
            </w:pPr>
            <w:r w:rsidRPr="004B4CD2">
              <w:rPr>
                <w:rFonts w:asciiTheme="minorHAnsi" w:hAnsiTheme="minorHAnsi" w:cstheme="minorHAnsi"/>
                <w:sz w:val="22"/>
                <w:szCs w:val="22"/>
                <w:lang w:val="mk-MK"/>
              </w:rPr>
              <w:t>Кредитирање во земјата, вклучувајќи и факторинг и финансирање на комерцијални трансакции</w:t>
            </w:r>
          </w:p>
          <w:p w14:paraId="32D1359E" w14:textId="77777777" w:rsidR="004B4CD2" w:rsidRPr="004B4CD2" w:rsidRDefault="004B4CD2" w:rsidP="00404624">
            <w:pPr>
              <w:numPr>
                <w:ilvl w:val="0"/>
                <w:numId w:val="1"/>
              </w:numPr>
              <w:rPr>
                <w:rFonts w:asciiTheme="minorHAnsi" w:hAnsiTheme="minorHAnsi" w:cstheme="minorHAnsi"/>
                <w:lang w:val="ru-RU"/>
              </w:rPr>
            </w:pPr>
            <w:r w:rsidRPr="004B4CD2">
              <w:rPr>
                <w:rFonts w:asciiTheme="minorHAnsi" w:hAnsiTheme="minorHAnsi" w:cstheme="minorHAnsi"/>
                <w:sz w:val="22"/>
                <w:szCs w:val="22"/>
                <w:lang w:val="mk-MK"/>
              </w:rPr>
              <w:t>Кредитирање во странство, вклучувајќи и факторинг и финансирање на комерцијални трансакции</w:t>
            </w:r>
          </w:p>
          <w:p w14:paraId="1F02AC84" w14:textId="77777777" w:rsidR="004B4CD2" w:rsidRPr="004B4CD2" w:rsidRDefault="004B4CD2" w:rsidP="00404624">
            <w:pPr>
              <w:numPr>
                <w:ilvl w:val="0"/>
                <w:numId w:val="1"/>
              </w:numPr>
              <w:rPr>
                <w:rFonts w:asciiTheme="minorHAnsi" w:hAnsiTheme="minorHAnsi" w:cstheme="minorHAnsi"/>
                <w:lang w:val="ru-RU"/>
              </w:rPr>
            </w:pPr>
            <w:r w:rsidRPr="004B4CD2">
              <w:rPr>
                <w:rFonts w:asciiTheme="minorHAnsi" w:hAnsiTheme="minorHAnsi" w:cstheme="minorHAnsi"/>
                <w:sz w:val="22"/>
                <w:szCs w:val="22"/>
                <w:lang w:val="mk-MK"/>
              </w:rPr>
              <w:t>Издавање и администрирање на платежни средства (парични картички, чекови, патнички чекови, меници)</w:t>
            </w:r>
          </w:p>
          <w:p w14:paraId="44A10DAF" w14:textId="77777777" w:rsidR="004B4CD2" w:rsidRPr="004B4CD2" w:rsidRDefault="004B4CD2" w:rsidP="00404624">
            <w:pPr>
              <w:numPr>
                <w:ilvl w:val="0"/>
                <w:numId w:val="1"/>
              </w:numPr>
              <w:rPr>
                <w:rFonts w:asciiTheme="minorHAnsi" w:hAnsiTheme="minorHAnsi" w:cstheme="minorHAnsi"/>
                <w:lang w:val="ru-RU"/>
              </w:rPr>
            </w:pPr>
            <w:r w:rsidRPr="004B4CD2">
              <w:rPr>
                <w:rFonts w:asciiTheme="minorHAnsi" w:hAnsiTheme="minorHAnsi" w:cstheme="minorHAnsi"/>
                <w:sz w:val="22"/>
                <w:szCs w:val="22"/>
                <w:lang w:val="mk-MK"/>
              </w:rPr>
              <w:t>Финансиски лизинг</w:t>
            </w:r>
          </w:p>
          <w:p w14:paraId="7196C238" w14:textId="77777777" w:rsidR="004B4CD2" w:rsidRPr="004B4CD2" w:rsidRDefault="004B4CD2" w:rsidP="00404624">
            <w:pPr>
              <w:numPr>
                <w:ilvl w:val="0"/>
                <w:numId w:val="1"/>
              </w:numPr>
              <w:rPr>
                <w:rFonts w:asciiTheme="minorHAnsi" w:hAnsiTheme="minorHAnsi" w:cstheme="minorHAnsi"/>
              </w:rPr>
            </w:pPr>
            <w:r w:rsidRPr="004B4CD2">
              <w:rPr>
                <w:rFonts w:asciiTheme="minorHAnsi" w:hAnsiTheme="minorHAnsi" w:cstheme="minorHAnsi"/>
                <w:sz w:val="22"/>
                <w:szCs w:val="22"/>
                <w:lang w:val="mk-MK"/>
              </w:rPr>
              <w:t>Менувачки работи</w:t>
            </w:r>
          </w:p>
          <w:p w14:paraId="3FA5E1C5" w14:textId="77777777" w:rsidR="004B4CD2" w:rsidRPr="004B4CD2" w:rsidRDefault="004B4CD2" w:rsidP="00404624">
            <w:pPr>
              <w:numPr>
                <w:ilvl w:val="0"/>
                <w:numId w:val="1"/>
              </w:numPr>
              <w:rPr>
                <w:rFonts w:asciiTheme="minorHAnsi" w:hAnsiTheme="minorHAnsi" w:cstheme="minorHAnsi"/>
                <w:lang w:val="ru-RU"/>
              </w:rPr>
            </w:pPr>
            <w:r w:rsidRPr="004B4CD2">
              <w:rPr>
                <w:rFonts w:asciiTheme="minorHAnsi" w:hAnsiTheme="minorHAnsi" w:cstheme="minorHAnsi"/>
                <w:sz w:val="22"/>
                <w:szCs w:val="22"/>
                <w:lang w:val="mk-MK"/>
              </w:rPr>
              <w:t>Платен промет во земјата и странство, вклучувајќи купопродажба на девизи</w:t>
            </w:r>
          </w:p>
          <w:p w14:paraId="59D30D1E" w14:textId="77777777" w:rsidR="004B4CD2" w:rsidRPr="004B4CD2" w:rsidRDefault="004B4CD2" w:rsidP="00404624">
            <w:pPr>
              <w:numPr>
                <w:ilvl w:val="0"/>
                <w:numId w:val="1"/>
              </w:numPr>
              <w:rPr>
                <w:rFonts w:asciiTheme="minorHAnsi" w:hAnsiTheme="minorHAnsi" w:cstheme="minorHAnsi"/>
                <w:lang w:val="ru-RU"/>
              </w:rPr>
            </w:pPr>
            <w:r w:rsidRPr="004B4CD2">
              <w:rPr>
                <w:rFonts w:asciiTheme="minorHAnsi" w:hAnsiTheme="minorHAnsi" w:cstheme="minorHAnsi"/>
                <w:sz w:val="22"/>
                <w:szCs w:val="22"/>
                <w:lang w:val="mk-MK"/>
              </w:rPr>
              <w:t>Брз трансфер на пари</w:t>
            </w:r>
          </w:p>
          <w:p w14:paraId="10AB2DD7" w14:textId="77777777" w:rsidR="004B4CD2" w:rsidRPr="004B4CD2" w:rsidRDefault="004B4CD2" w:rsidP="00404624">
            <w:pPr>
              <w:numPr>
                <w:ilvl w:val="0"/>
                <w:numId w:val="1"/>
              </w:numPr>
              <w:rPr>
                <w:rFonts w:asciiTheme="minorHAnsi" w:hAnsiTheme="minorHAnsi" w:cstheme="minorHAnsi"/>
                <w:lang w:val="ru-RU"/>
              </w:rPr>
            </w:pPr>
            <w:r w:rsidRPr="004B4CD2">
              <w:rPr>
                <w:rFonts w:asciiTheme="minorHAnsi" w:hAnsiTheme="minorHAnsi" w:cstheme="minorHAnsi"/>
                <w:sz w:val="22"/>
                <w:szCs w:val="22"/>
                <w:lang w:val="mk-MK"/>
              </w:rPr>
              <w:t>Издавање на платежни гаранции, авали и други форми на обезбедување</w:t>
            </w:r>
          </w:p>
          <w:p w14:paraId="120A40D7" w14:textId="77777777" w:rsidR="004B4CD2" w:rsidRPr="004B4CD2" w:rsidRDefault="004B4CD2" w:rsidP="00404624">
            <w:pPr>
              <w:numPr>
                <w:ilvl w:val="0"/>
                <w:numId w:val="1"/>
              </w:numPr>
              <w:rPr>
                <w:rFonts w:asciiTheme="minorHAnsi" w:hAnsiTheme="minorHAnsi" w:cstheme="minorHAnsi"/>
              </w:rPr>
            </w:pPr>
            <w:r w:rsidRPr="004B4CD2">
              <w:rPr>
                <w:rFonts w:asciiTheme="minorHAnsi" w:hAnsiTheme="minorHAnsi" w:cstheme="minorHAnsi"/>
                <w:sz w:val="22"/>
                <w:szCs w:val="22"/>
                <w:lang w:val="mk-MK"/>
              </w:rPr>
              <w:t>Изнајмување сефови, остава и депо</w:t>
            </w:r>
          </w:p>
          <w:p w14:paraId="2E662045" w14:textId="77777777" w:rsidR="004B4CD2" w:rsidRPr="004B4CD2" w:rsidRDefault="004B4CD2" w:rsidP="00404624">
            <w:pPr>
              <w:numPr>
                <w:ilvl w:val="0"/>
                <w:numId w:val="1"/>
              </w:numPr>
              <w:rPr>
                <w:rFonts w:asciiTheme="minorHAnsi" w:hAnsiTheme="minorHAnsi" w:cstheme="minorHAnsi"/>
                <w:lang w:val="ru-RU"/>
              </w:rPr>
            </w:pPr>
            <w:r w:rsidRPr="004B4CD2">
              <w:rPr>
                <w:rFonts w:asciiTheme="minorHAnsi" w:hAnsiTheme="minorHAnsi" w:cstheme="minorHAnsi"/>
                <w:sz w:val="22"/>
                <w:szCs w:val="22"/>
                <w:lang w:val="mk-MK"/>
              </w:rPr>
              <w:t xml:space="preserve">Тргување со инструменти на пазарот на пари </w:t>
            </w:r>
          </w:p>
          <w:p w14:paraId="1EF0B855" w14:textId="77777777" w:rsidR="004B4CD2" w:rsidRPr="004B4CD2" w:rsidRDefault="004B4CD2" w:rsidP="00404624">
            <w:pPr>
              <w:numPr>
                <w:ilvl w:val="0"/>
                <w:numId w:val="1"/>
              </w:numPr>
              <w:rPr>
                <w:rFonts w:asciiTheme="minorHAnsi" w:hAnsiTheme="minorHAnsi" w:cstheme="minorHAnsi"/>
                <w:lang w:val="ru-RU"/>
              </w:rPr>
            </w:pPr>
            <w:r w:rsidRPr="004B4CD2">
              <w:rPr>
                <w:rFonts w:asciiTheme="minorHAnsi" w:hAnsiTheme="minorHAnsi" w:cstheme="minorHAnsi"/>
                <w:sz w:val="22"/>
                <w:szCs w:val="22"/>
                <w:lang w:val="mk-MK"/>
              </w:rPr>
              <w:t>Тргување со девизни средства, што вклучува и тргување со благородни метали</w:t>
            </w:r>
          </w:p>
          <w:p w14:paraId="13DC5060" w14:textId="77777777" w:rsidR="004B4CD2" w:rsidRPr="004B4CD2" w:rsidRDefault="004B4CD2" w:rsidP="00404624">
            <w:pPr>
              <w:numPr>
                <w:ilvl w:val="0"/>
                <w:numId w:val="1"/>
              </w:numPr>
              <w:rPr>
                <w:rFonts w:asciiTheme="minorHAnsi" w:hAnsiTheme="minorHAnsi" w:cstheme="minorHAnsi"/>
              </w:rPr>
            </w:pPr>
            <w:r w:rsidRPr="004B4CD2">
              <w:rPr>
                <w:rFonts w:asciiTheme="minorHAnsi" w:hAnsiTheme="minorHAnsi" w:cstheme="minorHAnsi"/>
                <w:sz w:val="22"/>
                <w:szCs w:val="22"/>
                <w:lang w:val="mk-MK"/>
              </w:rPr>
              <w:t>Тргување со хартии од вредност</w:t>
            </w:r>
          </w:p>
          <w:p w14:paraId="06042EE5" w14:textId="77777777" w:rsidR="004B4CD2" w:rsidRPr="004B4CD2" w:rsidRDefault="004B4CD2" w:rsidP="00404624">
            <w:pPr>
              <w:numPr>
                <w:ilvl w:val="0"/>
                <w:numId w:val="1"/>
              </w:numPr>
              <w:rPr>
                <w:rFonts w:asciiTheme="minorHAnsi" w:hAnsiTheme="minorHAnsi" w:cstheme="minorHAnsi"/>
              </w:rPr>
            </w:pPr>
            <w:r w:rsidRPr="004B4CD2">
              <w:rPr>
                <w:rFonts w:asciiTheme="minorHAnsi" w:hAnsiTheme="minorHAnsi" w:cstheme="minorHAnsi"/>
                <w:sz w:val="22"/>
                <w:szCs w:val="22"/>
                <w:lang w:val="mk-MK"/>
              </w:rPr>
              <w:t>Чување на хартии од вредност за клиенти</w:t>
            </w:r>
          </w:p>
          <w:p w14:paraId="6987CD9F" w14:textId="77777777" w:rsidR="004B4CD2" w:rsidRPr="004B4CD2" w:rsidRDefault="004B4CD2" w:rsidP="00404624">
            <w:pPr>
              <w:numPr>
                <w:ilvl w:val="0"/>
                <w:numId w:val="1"/>
              </w:numPr>
              <w:rPr>
                <w:rFonts w:asciiTheme="minorHAnsi" w:hAnsiTheme="minorHAnsi" w:cstheme="minorHAnsi"/>
              </w:rPr>
            </w:pPr>
            <w:r w:rsidRPr="004B4CD2">
              <w:rPr>
                <w:rFonts w:asciiTheme="minorHAnsi" w:hAnsiTheme="minorHAnsi" w:cstheme="minorHAnsi"/>
                <w:sz w:val="22"/>
                <w:szCs w:val="22"/>
                <w:lang w:val="mk-MK"/>
              </w:rPr>
              <w:t>Советување на правни лица во врска со структурата на капиталот, деловната стратегија или други поврзани прашања или давање услуги со спојување или припојување на правни лица</w:t>
            </w:r>
          </w:p>
          <w:p w14:paraId="183445DB" w14:textId="719B94E5" w:rsidR="000D5FCF" w:rsidRPr="00F02336" w:rsidRDefault="004B4CD2" w:rsidP="00F02336">
            <w:pPr>
              <w:numPr>
                <w:ilvl w:val="0"/>
                <w:numId w:val="1"/>
              </w:numPr>
              <w:rPr>
                <w:rFonts w:asciiTheme="minorHAnsi" w:hAnsiTheme="minorHAnsi" w:cstheme="minorHAnsi"/>
                <w:lang w:val="ru-RU"/>
              </w:rPr>
            </w:pPr>
            <w:r w:rsidRPr="004B4CD2">
              <w:rPr>
                <w:rFonts w:asciiTheme="minorHAnsi" w:hAnsiTheme="minorHAnsi" w:cstheme="minorHAnsi"/>
                <w:sz w:val="22"/>
                <w:szCs w:val="22"/>
                <w:lang w:val="mk-MK"/>
              </w:rPr>
              <w:t>Продажба на полиси за осигурување</w:t>
            </w:r>
          </w:p>
          <w:p w14:paraId="7E620278" w14:textId="77777777" w:rsidR="004B4CD2" w:rsidRPr="004B4CD2" w:rsidRDefault="004B4CD2" w:rsidP="00404624">
            <w:pPr>
              <w:numPr>
                <w:ilvl w:val="0"/>
                <w:numId w:val="1"/>
              </w:numPr>
              <w:rPr>
                <w:rFonts w:asciiTheme="minorHAnsi" w:hAnsiTheme="minorHAnsi" w:cstheme="minorHAnsi"/>
                <w:lang w:val="ru-RU"/>
              </w:rPr>
            </w:pPr>
            <w:r w:rsidRPr="004B4CD2">
              <w:rPr>
                <w:rFonts w:asciiTheme="minorHAnsi" w:hAnsiTheme="minorHAnsi" w:cstheme="minorHAnsi"/>
                <w:sz w:val="22"/>
                <w:szCs w:val="22"/>
                <w:lang w:val="mk-MK"/>
              </w:rPr>
              <w:t>Посредување во склучување договори за кредити и заеми</w:t>
            </w:r>
          </w:p>
          <w:p w14:paraId="1105BC3E" w14:textId="77777777" w:rsidR="004B4CD2" w:rsidRPr="004B4CD2" w:rsidRDefault="004B4CD2" w:rsidP="00404624">
            <w:pPr>
              <w:numPr>
                <w:ilvl w:val="0"/>
                <w:numId w:val="1"/>
              </w:numPr>
              <w:rPr>
                <w:rFonts w:asciiTheme="minorHAnsi" w:hAnsiTheme="minorHAnsi" w:cstheme="minorHAnsi"/>
                <w:lang w:val="ru-RU"/>
              </w:rPr>
            </w:pPr>
            <w:r w:rsidRPr="004B4CD2">
              <w:rPr>
                <w:rFonts w:asciiTheme="minorHAnsi" w:hAnsiTheme="minorHAnsi" w:cstheme="minorHAnsi"/>
                <w:sz w:val="22"/>
                <w:szCs w:val="22"/>
                <w:lang w:val="mk-MK"/>
              </w:rPr>
              <w:t xml:space="preserve">Обработка и анализа на информации за кредитна способност на правни лица и </w:t>
            </w:r>
          </w:p>
          <w:p w14:paraId="241359BC" w14:textId="77777777" w:rsidR="004B4CD2" w:rsidRPr="004B4CD2" w:rsidRDefault="004B4CD2" w:rsidP="00404624">
            <w:pPr>
              <w:numPr>
                <w:ilvl w:val="0"/>
                <w:numId w:val="1"/>
              </w:numPr>
              <w:rPr>
                <w:rFonts w:asciiTheme="minorHAnsi" w:hAnsiTheme="minorHAnsi" w:cstheme="minorHAnsi"/>
              </w:rPr>
            </w:pPr>
            <w:r w:rsidRPr="004B4CD2">
              <w:rPr>
                <w:rFonts w:asciiTheme="minorHAnsi" w:hAnsiTheme="minorHAnsi" w:cstheme="minorHAnsi"/>
                <w:sz w:val="22"/>
                <w:szCs w:val="22"/>
                <w:lang w:val="mk-MK"/>
              </w:rPr>
              <w:t>Економско - финансиски консалтинг</w:t>
            </w:r>
          </w:p>
        </w:tc>
      </w:tr>
      <w:tr w:rsidR="004B4CD2" w:rsidRPr="004B4CD2" w14:paraId="06CA6431" w14:textId="77777777" w:rsidTr="00404624">
        <w:trPr>
          <w:trHeight w:val="1622"/>
        </w:trPr>
        <w:tc>
          <w:tcPr>
            <w:tcW w:w="1911" w:type="dxa"/>
            <w:vAlign w:val="center"/>
          </w:tcPr>
          <w:p w14:paraId="125E83EB" w14:textId="77777777" w:rsidR="004B4CD2" w:rsidRPr="004B4CD2" w:rsidRDefault="004B4CD2" w:rsidP="00404624">
            <w:pPr>
              <w:rPr>
                <w:rFonts w:asciiTheme="minorHAnsi" w:hAnsiTheme="minorHAnsi" w:cstheme="minorHAnsi"/>
                <w:lang w:val="mk-MK"/>
              </w:rPr>
            </w:pPr>
            <w:r w:rsidRPr="004B4CD2">
              <w:rPr>
                <w:rFonts w:asciiTheme="minorHAnsi" w:hAnsiTheme="minorHAnsi" w:cstheme="minorHAnsi"/>
                <w:sz w:val="22"/>
                <w:szCs w:val="22"/>
                <w:lang w:val="mk-MK"/>
              </w:rPr>
              <w:t>Преглед на финансиски активности за кои од страна на Гувернерот на НБРМ е изречена забрана или ограничување за нивно вршење т.е. согласноста е повлечена</w:t>
            </w:r>
          </w:p>
        </w:tc>
        <w:tc>
          <w:tcPr>
            <w:tcW w:w="7836" w:type="dxa"/>
            <w:vAlign w:val="center"/>
          </w:tcPr>
          <w:p w14:paraId="4EF7782E" w14:textId="77777777" w:rsidR="004B4CD2" w:rsidRPr="004B4CD2" w:rsidRDefault="004B4CD2" w:rsidP="007721DB">
            <w:pPr>
              <w:jc w:val="center"/>
              <w:rPr>
                <w:rFonts w:asciiTheme="minorHAnsi" w:hAnsiTheme="minorHAnsi" w:cstheme="minorHAnsi"/>
                <w:lang w:val="mk-MK"/>
              </w:rPr>
            </w:pPr>
            <w:r w:rsidRPr="004B4CD2">
              <w:rPr>
                <w:rFonts w:asciiTheme="minorHAnsi" w:hAnsiTheme="minorHAnsi" w:cstheme="minorHAnsi"/>
                <w:sz w:val="22"/>
                <w:szCs w:val="22"/>
                <w:lang w:val="mk-MK"/>
              </w:rPr>
              <w:t>НЕМА</w:t>
            </w:r>
          </w:p>
        </w:tc>
      </w:tr>
      <w:tr w:rsidR="004B4CD2" w:rsidRPr="004B4CD2" w14:paraId="46DAE2AE" w14:textId="77777777" w:rsidTr="00404624">
        <w:tc>
          <w:tcPr>
            <w:tcW w:w="9747" w:type="dxa"/>
            <w:gridSpan w:val="2"/>
            <w:shd w:val="clear" w:color="auto" w:fill="000082"/>
          </w:tcPr>
          <w:p w14:paraId="1D72595C" w14:textId="77777777" w:rsidR="004B4CD2" w:rsidRPr="004B4CD2" w:rsidRDefault="004B4CD2" w:rsidP="00404624">
            <w:pPr>
              <w:rPr>
                <w:rFonts w:asciiTheme="minorHAnsi" w:hAnsiTheme="minorHAnsi" w:cstheme="minorHAnsi"/>
                <w:b/>
                <w:lang w:val="mk-MK"/>
              </w:rPr>
            </w:pPr>
            <w:r w:rsidRPr="004B4CD2">
              <w:rPr>
                <w:rFonts w:asciiTheme="minorHAnsi" w:hAnsiTheme="minorHAnsi" w:cstheme="minorHAnsi"/>
                <w:b/>
                <w:sz w:val="22"/>
                <w:szCs w:val="22"/>
                <w:lang w:val="mk-MK"/>
              </w:rPr>
              <w:t>2. ПОДАТОЦИ ЗА АКЦИОНЕРСКАТА СТРУКТУРА НА БАНКАТА – АКЦИОНЕРИ СО КВАЛИФИКУВАНО УЧЕСТВО</w:t>
            </w:r>
          </w:p>
        </w:tc>
      </w:tr>
      <w:tr w:rsidR="004B4CD2" w:rsidRPr="004B4CD2" w14:paraId="255C02AA" w14:textId="77777777" w:rsidTr="00404624">
        <w:trPr>
          <w:trHeight w:val="2076"/>
        </w:trPr>
        <w:tc>
          <w:tcPr>
            <w:tcW w:w="1911" w:type="dxa"/>
            <w:vAlign w:val="center"/>
          </w:tcPr>
          <w:p w14:paraId="56371942" w14:textId="513D167A" w:rsidR="004B4CD2" w:rsidRPr="00893E6E" w:rsidRDefault="004B4CD2" w:rsidP="004B4CD2">
            <w:pPr>
              <w:rPr>
                <w:rFonts w:asciiTheme="minorHAnsi" w:hAnsiTheme="minorHAnsi" w:cstheme="minorHAnsi"/>
                <w:lang w:val="en-US"/>
              </w:rPr>
            </w:pPr>
            <w:r w:rsidRPr="004B4CD2">
              <w:rPr>
                <w:rFonts w:asciiTheme="minorHAnsi" w:hAnsiTheme="minorHAnsi" w:cstheme="minorHAnsi"/>
                <w:sz w:val="22"/>
                <w:szCs w:val="22"/>
                <w:lang w:val="mk-MK"/>
              </w:rPr>
              <w:lastRenderedPageBreak/>
              <w:t xml:space="preserve">Назив на акционерот, седиште, правна форма, претежна дејност и процент на учество во вкупниот број акции и во вкупниот број издадени акции со право на глас во Банката, со состојба на </w:t>
            </w:r>
            <w:r w:rsidRPr="004B4CD2">
              <w:rPr>
                <w:rFonts w:asciiTheme="minorHAnsi" w:hAnsiTheme="minorHAnsi" w:cstheme="minorHAnsi"/>
                <w:sz w:val="22"/>
                <w:szCs w:val="22"/>
                <w:lang w:val="ru-RU"/>
              </w:rPr>
              <w:t>3</w:t>
            </w:r>
            <w:r w:rsidR="00893E6E">
              <w:rPr>
                <w:rFonts w:asciiTheme="minorHAnsi" w:hAnsiTheme="minorHAnsi" w:cstheme="minorHAnsi"/>
                <w:sz w:val="22"/>
                <w:szCs w:val="22"/>
                <w:lang w:val="en-US"/>
              </w:rPr>
              <w:t>0</w:t>
            </w:r>
            <w:r w:rsidRPr="004B4CD2">
              <w:rPr>
                <w:rFonts w:asciiTheme="minorHAnsi" w:hAnsiTheme="minorHAnsi" w:cstheme="minorHAnsi"/>
                <w:sz w:val="22"/>
                <w:szCs w:val="22"/>
                <w:lang w:val="ru-RU"/>
              </w:rPr>
              <w:t>.</w:t>
            </w:r>
            <w:r w:rsidR="00893E6E">
              <w:rPr>
                <w:rFonts w:asciiTheme="minorHAnsi" w:hAnsiTheme="minorHAnsi" w:cstheme="minorHAnsi"/>
                <w:sz w:val="22"/>
                <w:szCs w:val="22"/>
                <w:lang w:val="en-US"/>
              </w:rPr>
              <w:t>06</w:t>
            </w:r>
            <w:r w:rsidRPr="004B4CD2">
              <w:rPr>
                <w:rFonts w:asciiTheme="minorHAnsi" w:hAnsiTheme="minorHAnsi" w:cstheme="minorHAnsi"/>
                <w:sz w:val="22"/>
                <w:szCs w:val="22"/>
                <w:lang w:val="ru-RU"/>
              </w:rPr>
              <w:t>.</w:t>
            </w:r>
            <w:r>
              <w:rPr>
                <w:rFonts w:asciiTheme="minorHAnsi" w:hAnsiTheme="minorHAnsi" w:cstheme="minorHAnsi"/>
                <w:sz w:val="22"/>
                <w:szCs w:val="22"/>
                <w:lang w:val="ru-RU"/>
              </w:rPr>
              <w:t>202</w:t>
            </w:r>
            <w:r w:rsidR="000D5FCF">
              <w:rPr>
                <w:rFonts w:asciiTheme="minorHAnsi" w:hAnsiTheme="minorHAnsi" w:cstheme="minorHAnsi"/>
                <w:sz w:val="22"/>
                <w:szCs w:val="22"/>
                <w:lang w:val="mk-MK"/>
              </w:rPr>
              <w:t>2</w:t>
            </w:r>
          </w:p>
        </w:tc>
        <w:tc>
          <w:tcPr>
            <w:tcW w:w="7836" w:type="dxa"/>
            <w:vAlign w:val="center"/>
          </w:tcPr>
          <w:p w14:paraId="1AD0CFF9" w14:textId="77777777" w:rsidR="004B4CD2" w:rsidRPr="004B4CD2" w:rsidRDefault="004B4CD2" w:rsidP="00452CA1">
            <w:pPr>
              <w:jc w:val="both"/>
              <w:rPr>
                <w:rFonts w:asciiTheme="minorHAnsi" w:hAnsiTheme="minorHAnsi" w:cstheme="minorHAnsi"/>
                <w:lang w:val="en-US"/>
              </w:rPr>
            </w:pPr>
            <w:r w:rsidRPr="004B4CD2">
              <w:rPr>
                <w:rFonts w:asciiTheme="minorHAnsi" w:hAnsiTheme="minorHAnsi" w:cstheme="minorHAnsi"/>
                <w:sz w:val="22"/>
                <w:szCs w:val="22"/>
                <w:lang w:val="mk-MK"/>
              </w:rPr>
              <w:t>Силк Роуд Капитал АГ</w:t>
            </w:r>
            <w:r w:rsidRPr="004B4CD2" w:rsidDel="00E257E3">
              <w:rPr>
                <w:rFonts w:asciiTheme="minorHAnsi" w:hAnsiTheme="minorHAnsi" w:cstheme="minorHAnsi"/>
                <w:sz w:val="22"/>
                <w:szCs w:val="22"/>
                <w:lang w:val="en-US"/>
              </w:rPr>
              <w:t xml:space="preserve"> </w:t>
            </w:r>
            <w:r w:rsidRPr="004B4CD2">
              <w:rPr>
                <w:rFonts w:asciiTheme="minorHAnsi" w:hAnsiTheme="minorHAnsi" w:cstheme="minorHAnsi"/>
                <w:sz w:val="22"/>
                <w:szCs w:val="22"/>
                <w:lang w:val="mk-MK"/>
              </w:rPr>
              <w:t xml:space="preserve"> Швајцарија  ул. </w:t>
            </w:r>
            <w:r w:rsidRPr="004B4CD2">
              <w:rPr>
                <w:rFonts w:asciiTheme="minorHAnsi" w:hAnsiTheme="minorHAnsi" w:cstheme="minorHAnsi"/>
                <w:sz w:val="22"/>
                <w:szCs w:val="22"/>
                <w:shd w:val="clear" w:color="auto" w:fill="FFFFFF"/>
              </w:rPr>
              <w:t>Dorfstrasse 38, 6340 Baar</w:t>
            </w:r>
            <w:r w:rsidR="00452CA1">
              <w:rPr>
                <w:rFonts w:asciiTheme="minorHAnsi" w:hAnsiTheme="minorHAnsi" w:cstheme="minorHAnsi"/>
                <w:sz w:val="22"/>
                <w:szCs w:val="22"/>
                <w:shd w:val="clear" w:color="auto" w:fill="FFFFFF"/>
                <w:lang w:val="mk-MK"/>
              </w:rPr>
              <w:t xml:space="preserve"> </w:t>
            </w:r>
            <w:r w:rsidRPr="004B4CD2">
              <w:rPr>
                <w:rFonts w:asciiTheme="minorHAnsi" w:hAnsiTheme="minorHAnsi" w:cstheme="minorHAnsi"/>
                <w:sz w:val="22"/>
                <w:szCs w:val="22"/>
                <w:lang w:val="mk-MK"/>
              </w:rPr>
              <w:t>Швајцарија</w:t>
            </w:r>
          </w:p>
          <w:p w14:paraId="57C73283" w14:textId="77777777" w:rsidR="004B4CD2" w:rsidRPr="004B4CD2" w:rsidRDefault="004B4CD2" w:rsidP="00452CA1">
            <w:pPr>
              <w:jc w:val="both"/>
              <w:rPr>
                <w:rFonts w:asciiTheme="minorHAnsi" w:hAnsiTheme="minorHAnsi" w:cstheme="minorHAnsi"/>
                <w:lang w:val="en-US"/>
              </w:rPr>
            </w:pPr>
          </w:p>
          <w:p w14:paraId="0FE9A821" w14:textId="77777777" w:rsidR="004B4CD2" w:rsidRPr="004B4CD2" w:rsidRDefault="004B4CD2" w:rsidP="00452CA1">
            <w:pPr>
              <w:jc w:val="both"/>
              <w:rPr>
                <w:rFonts w:asciiTheme="minorHAnsi" w:hAnsiTheme="minorHAnsi" w:cstheme="minorHAnsi"/>
                <w:lang w:val="en-US"/>
              </w:rPr>
            </w:pPr>
            <w:r w:rsidRPr="004B4CD2">
              <w:rPr>
                <w:rFonts w:asciiTheme="minorHAnsi" w:hAnsiTheme="minorHAnsi" w:cstheme="minorHAnsi"/>
                <w:sz w:val="22"/>
                <w:szCs w:val="22"/>
                <w:lang w:val="mk-MK"/>
              </w:rPr>
              <w:t>Вложувања во банки и финансиски компании во земјата и странство, управување со средства и недвижен имот и обезбедување на поврзани услуги; може да се да се здобива со патенти и лиценци и да тргува со добра од секаков вид, да финансира зделки, да стекнува земја и да учествува во вложувања.</w:t>
            </w:r>
          </w:p>
          <w:p w14:paraId="11E3B9FB" w14:textId="77777777" w:rsidR="004B4CD2" w:rsidRPr="004B4CD2" w:rsidRDefault="004B4CD2" w:rsidP="00452CA1">
            <w:pPr>
              <w:jc w:val="both"/>
              <w:rPr>
                <w:rFonts w:asciiTheme="minorHAnsi" w:hAnsiTheme="minorHAnsi" w:cstheme="minorHAnsi"/>
                <w:lang w:val="en-US"/>
              </w:rPr>
            </w:pPr>
          </w:p>
          <w:p w14:paraId="68628A4E" w14:textId="77777777" w:rsidR="004B4CD2" w:rsidRPr="004B4CD2" w:rsidRDefault="004B4CD2" w:rsidP="00452CA1">
            <w:pPr>
              <w:jc w:val="both"/>
              <w:rPr>
                <w:rFonts w:asciiTheme="minorHAnsi" w:hAnsiTheme="minorHAnsi" w:cstheme="minorHAnsi"/>
                <w:lang w:val="mk-MK"/>
              </w:rPr>
            </w:pPr>
            <w:r w:rsidRPr="004B4CD2">
              <w:rPr>
                <w:rFonts w:asciiTheme="minorHAnsi" w:hAnsiTheme="minorHAnsi" w:cstheme="minorHAnsi"/>
                <w:sz w:val="22"/>
                <w:szCs w:val="22"/>
                <w:lang w:val="mk-MK"/>
              </w:rPr>
              <w:t>Процент на учество во вкупен број на акции на Банката</w:t>
            </w:r>
          </w:p>
          <w:p w14:paraId="2760AE0D" w14:textId="77777777" w:rsidR="004B4CD2" w:rsidRPr="004B4CD2" w:rsidRDefault="004B4CD2" w:rsidP="00452CA1">
            <w:pPr>
              <w:jc w:val="both"/>
              <w:rPr>
                <w:rFonts w:asciiTheme="minorHAnsi" w:hAnsiTheme="minorHAnsi" w:cstheme="minorHAnsi"/>
                <w:lang w:val="mk-MK"/>
              </w:rPr>
            </w:pPr>
            <w:r w:rsidRPr="004B4CD2">
              <w:rPr>
                <w:rFonts w:asciiTheme="minorHAnsi" w:hAnsiTheme="minorHAnsi" w:cstheme="minorHAnsi"/>
                <w:sz w:val="22"/>
                <w:szCs w:val="22"/>
                <w:lang w:val="mk-MK"/>
              </w:rPr>
              <w:t>100%</w:t>
            </w:r>
          </w:p>
          <w:p w14:paraId="4301E8C9" w14:textId="77777777" w:rsidR="004B4CD2" w:rsidRPr="004B4CD2" w:rsidRDefault="004B4CD2" w:rsidP="00452CA1">
            <w:pPr>
              <w:jc w:val="both"/>
              <w:rPr>
                <w:rFonts w:asciiTheme="minorHAnsi" w:hAnsiTheme="minorHAnsi" w:cstheme="minorHAnsi"/>
                <w:lang w:val="mk-MK"/>
              </w:rPr>
            </w:pPr>
          </w:p>
          <w:p w14:paraId="3B4C4C79" w14:textId="77777777" w:rsidR="004B4CD2" w:rsidRPr="004B4CD2" w:rsidRDefault="004B4CD2" w:rsidP="00452CA1">
            <w:pPr>
              <w:jc w:val="both"/>
              <w:rPr>
                <w:rFonts w:asciiTheme="minorHAnsi" w:hAnsiTheme="minorHAnsi" w:cstheme="minorHAnsi"/>
                <w:lang w:val="mk-MK"/>
              </w:rPr>
            </w:pPr>
            <w:r w:rsidRPr="004B4CD2">
              <w:rPr>
                <w:rFonts w:asciiTheme="minorHAnsi" w:hAnsiTheme="minorHAnsi" w:cstheme="minorHAnsi"/>
                <w:sz w:val="22"/>
                <w:szCs w:val="22"/>
                <w:lang w:val="mk-MK"/>
              </w:rPr>
              <w:t>Процент на учество во вкупен број издадени акции со право на глас во Банката</w:t>
            </w:r>
          </w:p>
          <w:p w14:paraId="791E958C" w14:textId="77777777" w:rsidR="004B4CD2" w:rsidRPr="004B4CD2" w:rsidRDefault="004B4CD2" w:rsidP="00452CA1">
            <w:pPr>
              <w:jc w:val="both"/>
              <w:rPr>
                <w:rFonts w:asciiTheme="minorHAnsi" w:hAnsiTheme="minorHAnsi" w:cstheme="minorHAnsi"/>
                <w:lang w:val="mk-MK"/>
              </w:rPr>
            </w:pPr>
            <w:r w:rsidRPr="004B4CD2">
              <w:rPr>
                <w:rFonts w:asciiTheme="minorHAnsi" w:hAnsiTheme="minorHAnsi" w:cstheme="minorHAnsi"/>
                <w:sz w:val="22"/>
                <w:szCs w:val="22"/>
                <w:lang w:val="mk-MK"/>
              </w:rPr>
              <w:t>100%</w:t>
            </w:r>
          </w:p>
        </w:tc>
      </w:tr>
      <w:tr w:rsidR="004B4CD2" w:rsidRPr="004B4CD2" w14:paraId="0A08132E" w14:textId="77777777" w:rsidTr="00404624">
        <w:trPr>
          <w:trHeight w:val="1922"/>
        </w:trPr>
        <w:tc>
          <w:tcPr>
            <w:tcW w:w="1911" w:type="dxa"/>
            <w:vAlign w:val="center"/>
          </w:tcPr>
          <w:p w14:paraId="55DEEF53" w14:textId="77777777" w:rsidR="004B4CD2" w:rsidRPr="004B4CD2" w:rsidRDefault="004B4CD2" w:rsidP="00404624">
            <w:pPr>
              <w:rPr>
                <w:rFonts w:asciiTheme="minorHAnsi" w:hAnsiTheme="minorHAnsi" w:cstheme="minorHAnsi"/>
                <w:lang w:val="mk-MK"/>
              </w:rPr>
            </w:pPr>
            <w:r w:rsidRPr="004B4CD2">
              <w:rPr>
                <w:rFonts w:asciiTheme="minorHAnsi" w:hAnsiTheme="minorHAnsi" w:cstheme="minorHAnsi"/>
                <w:sz w:val="22"/>
                <w:szCs w:val="22"/>
                <w:lang w:val="ru-RU"/>
              </w:rPr>
              <w:t>За физички лица - името и презимето, адресата и процентот на учество во вкупниот број акции и во вкупниот број издадени акции со право на глас во Банката</w:t>
            </w:r>
          </w:p>
        </w:tc>
        <w:tc>
          <w:tcPr>
            <w:tcW w:w="7836" w:type="dxa"/>
            <w:vAlign w:val="center"/>
          </w:tcPr>
          <w:p w14:paraId="64902C80" w14:textId="77777777" w:rsidR="004B4CD2" w:rsidRPr="004B4CD2" w:rsidRDefault="004B4CD2" w:rsidP="00404624">
            <w:pPr>
              <w:rPr>
                <w:rFonts w:asciiTheme="minorHAnsi" w:hAnsiTheme="minorHAnsi" w:cstheme="minorHAnsi"/>
                <w:lang w:val="ru-RU"/>
              </w:rPr>
            </w:pPr>
            <w:r w:rsidRPr="004B4CD2">
              <w:rPr>
                <w:rFonts w:asciiTheme="minorHAnsi" w:hAnsiTheme="minorHAnsi" w:cstheme="minorHAnsi"/>
                <w:sz w:val="22"/>
                <w:szCs w:val="22"/>
                <w:lang w:val="ru-RU"/>
              </w:rPr>
              <w:t>НЕМА</w:t>
            </w:r>
          </w:p>
        </w:tc>
      </w:tr>
      <w:tr w:rsidR="004B4CD2" w:rsidRPr="004B4CD2" w14:paraId="00745187" w14:textId="77777777" w:rsidTr="004B4CD2">
        <w:trPr>
          <w:trHeight w:val="1887"/>
        </w:trPr>
        <w:tc>
          <w:tcPr>
            <w:tcW w:w="1911" w:type="dxa"/>
            <w:vAlign w:val="center"/>
          </w:tcPr>
          <w:p w14:paraId="72D475AB" w14:textId="561329F1" w:rsidR="004B4CD2" w:rsidRPr="00893E6E" w:rsidRDefault="004B4CD2" w:rsidP="00893E6E">
            <w:pPr>
              <w:rPr>
                <w:rFonts w:asciiTheme="minorHAnsi" w:hAnsiTheme="minorHAnsi" w:cstheme="minorHAnsi"/>
                <w:lang w:val="en-US"/>
              </w:rPr>
            </w:pPr>
            <w:r w:rsidRPr="004B4CD2">
              <w:rPr>
                <w:rFonts w:asciiTheme="minorHAnsi" w:hAnsiTheme="minorHAnsi" w:cstheme="minorHAnsi"/>
                <w:sz w:val="22"/>
                <w:szCs w:val="22"/>
                <w:lang w:val="mk-MK"/>
              </w:rPr>
              <w:t>Вкупен број акционери кои немаат квалификувано учество во Банката и нивно учество во вкупниот број акции и во вкупниот број издадени акции со право на гл</w:t>
            </w:r>
            <w:r w:rsidR="00893E6E">
              <w:rPr>
                <w:rFonts w:asciiTheme="minorHAnsi" w:hAnsiTheme="minorHAnsi" w:cstheme="minorHAnsi"/>
                <w:sz w:val="22"/>
                <w:szCs w:val="22"/>
                <w:lang w:val="mk-MK"/>
              </w:rPr>
              <w:t>ас во Банката, со состојба на 3</w:t>
            </w:r>
            <w:r w:rsidR="00893E6E">
              <w:rPr>
                <w:rFonts w:asciiTheme="minorHAnsi" w:hAnsiTheme="minorHAnsi" w:cstheme="minorHAnsi"/>
                <w:sz w:val="22"/>
                <w:szCs w:val="22"/>
                <w:lang w:val="en-US"/>
              </w:rPr>
              <w:t>0</w:t>
            </w:r>
            <w:r w:rsidRPr="004B4CD2">
              <w:rPr>
                <w:rFonts w:asciiTheme="minorHAnsi" w:hAnsiTheme="minorHAnsi" w:cstheme="minorHAnsi"/>
                <w:sz w:val="22"/>
                <w:szCs w:val="22"/>
                <w:lang w:val="mk-MK"/>
              </w:rPr>
              <w:t>.</w:t>
            </w:r>
            <w:r w:rsidR="00893E6E">
              <w:rPr>
                <w:rFonts w:asciiTheme="minorHAnsi" w:hAnsiTheme="minorHAnsi" w:cstheme="minorHAnsi"/>
                <w:sz w:val="22"/>
                <w:szCs w:val="22"/>
                <w:lang w:val="en-US"/>
              </w:rPr>
              <w:t>06</w:t>
            </w:r>
            <w:r w:rsidRPr="004B4CD2">
              <w:rPr>
                <w:rFonts w:asciiTheme="minorHAnsi" w:hAnsiTheme="minorHAnsi" w:cstheme="minorHAnsi"/>
                <w:sz w:val="22"/>
                <w:szCs w:val="22"/>
                <w:lang w:val="mk-MK"/>
              </w:rPr>
              <w:t>.</w:t>
            </w:r>
            <w:r>
              <w:rPr>
                <w:rFonts w:asciiTheme="minorHAnsi" w:hAnsiTheme="minorHAnsi" w:cstheme="minorHAnsi"/>
                <w:sz w:val="22"/>
                <w:szCs w:val="22"/>
                <w:lang w:val="mk-MK"/>
              </w:rPr>
              <w:t>202</w:t>
            </w:r>
            <w:r w:rsidR="000D5FCF">
              <w:rPr>
                <w:rFonts w:asciiTheme="minorHAnsi" w:hAnsiTheme="minorHAnsi" w:cstheme="minorHAnsi"/>
                <w:sz w:val="22"/>
                <w:szCs w:val="22"/>
                <w:lang w:val="mk-MK"/>
              </w:rPr>
              <w:t>2</w:t>
            </w:r>
          </w:p>
        </w:tc>
        <w:tc>
          <w:tcPr>
            <w:tcW w:w="7836" w:type="dxa"/>
            <w:vAlign w:val="center"/>
          </w:tcPr>
          <w:p w14:paraId="5BB31688" w14:textId="77777777" w:rsidR="004B4CD2" w:rsidRPr="004B4CD2" w:rsidRDefault="004B4CD2" w:rsidP="00404624">
            <w:pPr>
              <w:rPr>
                <w:rFonts w:asciiTheme="minorHAnsi" w:hAnsiTheme="minorHAnsi" w:cstheme="minorHAnsi"/>
                <w:lang w:val="mk-MK"/>
              </w:rPr>
            </w:pPr>
            <w:r w:rsidRPr="004B4CD2">
              <w:rPr>
                <w:rFonts w:asciiTheme="minorHAnsi" w:hAnsiTheme="minorHAnsi" w:cstheme="minorHAnsi"/>
                <w:sz w:val="22"/>
                <w:szCs w:val="22"/>
                <w:lang w:val="mk-MK"/>
              </w:rPr>
              <w:t>НЕМА</w:t>
            </w:r>
          </w:p>
        </w:tc>
      </w:tr>
      <w:tr w:rsidR="004B4CD2" w:rsidRPr="004B4CD2" w14:paraId="017806EB" w14:textId="77777777" w:rsidTr="00404624">
        <w:tc>
          <w:tcPr>
            <w:tcW w:w="9747" w:type="dxa"/>
            <w:gridSpan w:val="2"/>
            <w:shd w:val="clear" w:color="auto" w:fill="000082"/>
          </w:tcPr>
          <w:p w14:paraId="09684DA9" w14:textId="77777777" w:rsidR="004B4CD2" w:rsidRPr="004B4CD2" w:rsidRDefault="004B4CD2" w:rsidP="00404624">
            <w:pPr>
              <w:rPr>
                <w:rFonts w:asciiTheme="minorHAnsi" w:hAnsiTheme="minorHAnsi" w:cstheme="minorHAnsi"/>
                <w:b/>
                <w:lang w:val="mk-MK"/>
              </w:rPr>
            </w:pPr>
            <w:r w:rsidRPr="004B4CD2">
              <w:rPr>
                <w:rFonts w:asciiTheme="minorHAnsi" w:hAnsiTheme="minorHAnsi" w:cstheme="minorHAnsi"/>
                <w:b/>
                <w:sz w:val="22"/>
                <w:szCs w:val="22"/>
                <w:lang w:val="ru-RU"/>
              </w:rPr>
              <w:t>3. ПОДАТОЦИ ЗА СОПСТВЕНИТЕ СРЕДСТВА И ЗА АДЕКВАТНОСТА НА КАПИТАЛОТ НА БАНКАТА</w:t>
            </w:r>
          </w:p>
        </w:tc>
      </w:tr>
      <w:tr w:rsidR="004B4CD2" w:rsidRPr="004B4CD2" w14:paraId="4B766FBC" w14:textId="77777777" w:rsidTr="00404624">
        <w:tc>
          <w:tcPr>
            <w:tcW w:w="1911" w:type="dxa"/>
            <w:vAlign w:val="center"/>
          </w:tcPr>
          <w:p w14:paraId="74AE1F07" w14:textId="77777777" w:rsidR="004B4CD2" w:rsidRPr="004B4CD2" w:rsidRDefault="004B4CD2" w:rsidP="00404624">
            <w:pPr>
              <w:rPr>
                <w:rFonts w:asciiTheme="minorHAnsi" w:hAnsiTheme="minorHAnsi" w:cstheme="minorHAnsi"/>
                <w:lang w:val="mk-MK"/>
              </w:rPr>
            </w:pPr>
            <w:r w:rsidRPr="004B4CD2">
              <w:rPr>
                <w:rFonts w:asciiTheme="minorHAnsi" w:hAnsiTheme="minorHAnsi" w:cstheme="minorHAnsi"/>
                <w:sz w:val="22"/>
                <w:szCs w:val="22"/>
                <w:lang w:val="mk-MK"/>
              </w:rPr>
              <w:t>Износот на почетниот капитал кој е запишан во Централниот регистар</w:t>
            </w:r>
          </w:p>
        </w:tc>
        <w:tc>
          <w:tcPr>
            <w:tcW w:w="7836" w:type="dxa"/>
            <w:vAlign w:val="center"/>
          </w:tcPr>
          <w:p w14:paraId="56E933D6" w14:textId="77777777" w:rsidR="004B4CD2" w:rsidRPr="004B4CD2" w:rsidRDefault="004B4CD2" w:rsidP="00404624">
            <w:pPr>
              <w:rPr>
                <w:rFonts w:asciiTheme="minorHAnsi" w:hAnsiTheme="minorHAnsi" w:cstheme="minorHAnsi"/>
                <w:lang w:val="mk-MK"/>
              </w:rPr>
            </w:pPr>
            <w:r w:rsidRPr="004B4CD2">
              <w:rPr>
                <w:rFonts w:asciiTheme="minorHAnsi" w:hAnsiTheme="minorHAnsi" w:cstheme="minorHAnsi"/>
                <w:sz w:val="22"/>
                <w:szCs w:val="22"/>
                <w:lang w:val="mk-MK"/>
              </w:rPr>
              <w:t xml:space="preserve">МКД </w:t>
            </w:r>
            <w:r w:rsidRPr="004B4CD2">
              <w:rPr>
                <w:rFonts w:asciiTheme="minorHAnsi" w:hAnsiTheme="minorHAnsi" w:cstheme="minorHAnsi"/>
                <w:sz w:val="22"/>
                <w:szCs w:val="22"/>
                <w:lang w:val="en-US"/>
              </w:rPr>
              <w:t xml:space="preserve">  372.123.855,00</w:t>
            </w:r>
            <w:r w:rsidRPr="004B4CD2">
              <w:rPr>
                <w:rFonts w:asciiTheme="minorHAnsi" w:hAnsiTheme="minorHAnsi" w:cstheme="minorHAnsi"/>
                <w:sz w:val="22"/>
                <w:szCs w:val="22"/>
                <w:lang w:val="mk-MK"/>
              </w:rPr>
              <w:t xml:space="preserve"> </w:t>
            </w:r>
          </w:p>
        </w:tc>
      </w:tr>
      <w:tr w:rsidR="004B4CD2" w:rsidRPr="004B4CD2" w14:paraId="7D61D551" w14:textId="77777777" w:rsidTr="00404624">
        <w:tc>
          <w:tcPr>
            <w:tcW w:w="1911" w:type="dxa"/>
            <w:vAlign w:val="center"/>
          </w:tcPr>
          <w:p w14:paraId="19A954B8" w14:textId="77777777" w:rsidR="004B4CD2" w:rsidRPr="004B4CD2" w:rsidRDefault="004B4CD2" w:rsidP="00404624">
            <w:pPr>
              <w:rPr>
                <w:rFonts w:asciiTheme="minorHAnsi" w:hAnsiTheme="minorHAnsi" w:cstheme="minorHAnsi"/>
                <w:lang w:val="mk-MK"/>
              </w:rPr>
            </w:pPr>
            <w:r w:rsidRPr="004B4CD2">
              <w:rPr>
                <w:rFonts w:asciiTheme="minorHAnsi" w:hAnsiTheme="minorHAnsi" w:cstheme="minorHAnsi"/>
                <w:sz w:val="22"/>
                <w:szCs w:val="22"/>
                <w:lang w:val="mk-MK"/>
              </w:rPr>
              <w:t>Бројот на акциите од секој род и класа како и номиналниот износ на акциите</w:t>
            </w:r>
          </w:p>
        </w:tc>
        <w:tc>
          <w:tcPr>
            <w:tcW w:w="7836" w:type="dxa"/>
            <w:vAlign w:val="center"/>
          </w:tcPr>
          <w:p w14:paraId="1023CD05" w14:textId="77777777" w:rsidR="004B4CD2" w:rsidRPr="004B4CD2" w:rsidRDefault="004B4CD2" w:rsidP="00404624">
            <w:pPr>
              <w:rPr>
                <w:rFonts w:asciiTheme="minorHAnsi" w:hAnsiTheme="minorHAnsi" w:cstheme="minorHAnsi"/>
                <w:lang w:val="ru-RU"/>
              </w:rPr>
            </w:pPr>
            <w:r w:rsidRPr="004B4CD2">
              <w:rPr>
                <w:rFonts w:asciiTheme="minorHAnsi" w:hAnsiTheme="minorHAnsi" w:cstheme="minorHAnsi"/>
                <w:sz w:val="22"/>
                <w:szCs w:val="22"/>
                <w:lang w:val="ru-RU"/>
              </w:rPr>
              <w:t xml:space="preserve">10.305 </w:t>
            </w:r>
            <w:r w:rsidRPr="004B4CD2">
              <w:rPr>
                <w:rFonts w:asciiTheme="minorHAnsi" w:hAnsiTheme="minorHAnsi" w:cstheme="minorHAnsi"/>
                <w:sz w:val="22"/>
                <w:szCs w:val="22"/>
                <w:lang w:val="mk-MK"/>
              </w:rPr>
              <w:t xml:space="preserve"> обични акции со право на глас</w:t>
            </w:r>
          </w:p>
          <w:p w14:paraId="487CF8CE" w14:textId="77777777" w:rsidR="004B4CD2" w:rsidRPr="004B4CD2" w:rsidRDefault="004B4CD2" w:rsidP="00404624">
            <w:pPr>
              <w:rPr>
                <w:rFonts w:asciiTheme="minorHAnsi" w:hAnsiTheme="minorHAnsi" w:cstheme="minorHAnsi"/>
                <w:lang w:val="mk-MK"/>
              </w:rPr>
            </w:pPr>
            <w:r w:rsidRPr="004B4CD2">
              <w:rPr>
                <w:rFonts w:asciiTheme="minorHAnsi" w:hAnsiTheme="minorHAnsi" w:cstheme="minorHAnsi"/>
                <w:sz w:val="22"/>
                <w:szCs w:val="22"/>
                <w:lang w:val="ru-RU"/>
              </w:rPr>
              <w:t>10</w:t>
            </w:r>
            <w:r w:rsidRPr="004B4CD2">
              <w:rPr>
                <w:rFonts w:asciiTheme="minorHAnsi" w:hAnsiTheme="minorHAnsi" w:cstheme="minorHAnsi"/>
                <w:sz w:val="22"/>
                <w:szCs w:val="22"/>
                <w:lang w:val="mk-MK"/>
              </w:rPr>
              <w:t>.</w:t>
            </w:r>
            <w:r w:rsidRPr="004B4CD2">
              <w:rPr>
                <w:rFonts w:asciiTheme="minorHAnsi" w:hAnsiTheme="minorHAnsi" w:cstheme="minorHAnsi"/>
                <w:sz w:val="22"/>
                <w:szCs w:val="22"/>
                <w:lang w:val="ru-RU"/>
              </w:rPr>
              <w:t xml:space="preserve">305 </w:t>
            </w:r>
            <w:r w:rsidRPr="004B4CD2">
              <w:rPr>
                <w:rFonts w:asciiTheme="minorHAnsi" w:hAnsiTheme="minorHAnsi" w:cstheme="minorHAnsi"/>
                <w:sz w:val="22"/>
                <w:szCs w:val="22"/>
                <w:lang w:val="mk-MK"/>
              </w:rPr>
              <w:t>обични акции со номинална вредност на една акција од  36.111,00 денари</w:t>
            </w:r>
          </w:p>
        </w:tc>
      </w:tr>
      <w:tr w:rsidR="004B4CD2" w:rsidRPr="004B4CD2" w14:paraId="57B8078E" w14:textId="77777777" w:rsidTr="00404624">
        <w:tc>
          <w:tcPr>
            <w:tcW w:w="1911" w:type="dxa"/>
            <w:vAlign w:val="center"/>
          </w:tcPr>
          <w:p w14:paraId="2D418681" w14:textId="77777777" w:rsidR="004B4CD2" w:rsidRPr="004B4CD2" w:rsidRDefault="004B4CD2" w:rsidP="00404624">
            <w:pPr>
              <w:rPr>
                <w:rFonts w:asciiTheme="minorHAnsi" w:hAnsiTheme="minorHAnsi" w:cstheme="minorHAnsi"/>
                <w:lang w:val="ru-RU"/>
              </w:rPr>
            </w:pPr>
            <w:r w:rsidRPr="004B4CD2">
              <w:rPr>
                <w:rFonts w:asciiTheme="minorHAnsi" w:hAnsiTheme="minorHAnsi" w:cstheme="minorHAnsi"/>
                <w:sz w:val="22"/>
                <w:szCs w:val="22"/>
                <w:lang w:val="ru-RU"/>
              </w:rPr>
              <w:t xml:space="preserve">Описот на карактеристиките </w:t>
            </w:r>
            <w:r w:rsidRPr="004B4CD2">
              <w:rPr>
                <w:rFonts w:asciiTheme="minorHAnsi" w:hAnsiTheme="minorHAnsi" w:cstheme="minorHAnsi"/>
                <w:sz w:val="22"/>
                <w:szCs w:val="22"/>
                <w:lang w:val="ru-RU"/>
              </w:rPr>
              <w:lastRenderedPageBreak/>
              <w:t>на основните компо</w:t>
            </w:r>
            <w:r w:rsidRPr="004B4CD2">
              <w:rPr>
                <w:rFonts w:asciiTheme="minorHAnsi" w:hAnsiTheme="minorHAnsi" w:cstheme="minorHAnsi"/>
                <w:sz w:val="22"/>
                <w:szCs w:val="22"/>
                <w:lang w:val="ru-RU"/>
              </w:rPr>
              <w:softHyphen/>
              <w:t>ненти на сопствените средства</w:t>
            </w:r>
          </w:p>
        </w:tc>
        <w:tc>
          <w:tcPr>
            <w:tcW w:w="7836" w:type="dxa"/>
            <w:vAlign w:val="center"/>
          </w:tcPr>
          <w:p w14:paraId="45D1C2ED" w14:textId="77777777" w:rsidR="004B4CD2" w:rsidRPr="004B4CD2" w:rsidRDefault="004B4CD2" w:rsidP="00404624">
            <w:pPr>
              <w:pStyle w:val="Default"/>
              <w:jc w:val="both"/>
              <w:rPr>
                <w:rFonts w:asciiTheme="minorHAnsi" w:hAnsiTheme="minorHAnsi" w:cstheme="minorHAnsi"/>
                <w:sz w:val="22"/>
                <w:szCs w:val="22"/>
                <w:lang w:val="mk-MK"/>
              </w:rPr>
            </w:pPr>
            <w:r w:rsidRPr="004B4CD2">
              <w:rPr>
                <w:rFonts w:asciiTheme="minorHAnsi" w:hAnsiTheme="minorHAnsi" w:cstheme="minorHAnsi"/>
                <w:sz w:val="22"/>
                <w:szCs w:val="22"/>
                <w:lang w:val="mk-MK"/>
              </w:rPr>
              <w:lastRenderedPageBreak/>
              <w:t xml:space="preserve">Сопствените средства на банката претставуваат збир на редовниот основен капитал, додатниот основен капитал  и дополнителниот капитал. </w:t>
            </w:r>
          </w:p>
          <w:p w14:paraId="1B2FE38E" w14:textId="77777777" w:rsidR="004B4CD2" w:rsidRPr="004B4CD2" w:rsidRDefault="004B4CD2" w:rsidP="00404624">
            <w:pPr>
              <w:pStyle w:val="Default"/>
              <w:jc w:val="both"/>
              <w:rPr>
                <w:rFonts w:asciiTheme="minorHAnsi" w:hAnsiTheme="minorHAnsi" w:cstheme="minorHAnsi"/>
                <w:sz w:val="22"/>
                <w:szCs w:val="22"/>
                <w:lang w:val="mk-MK"/>
              </w:rPr>
            </w:pPr>
            <w:r w:rsidRPr="004B4CD2">
              <w:rPr>
                <w:rFonts w:asciiTheme="minorHAnsi" w:hAnsiTheme="minorHAnsi" w:cstheme="minorHAnsi"/>
                <w:sz w:val="22"/>
                <w:szCs w:val="22"/>
                <w:lang w:val="mk-MK"/>
              </w:rPr>
              <w:lastRenderedPageBreak/>
              <w:t>При утврдувањето на износот на сопствените средства, банката е должна да ги почитува следниве стапки:</w:t>
            </w:r>
          </w:p>
          <w:p w14:paraId="17396FD1" w14:textId="77777777" w:rsidR="004B4CD2" w:rsidRPr="004B4CD2" w:rsidRDefault="004B4CD2" w:rsidP="004B4CD2">
            <w:pPr>
              <w:pStyle w:val="Default"/>
              <w:numPr>
                <w:ilvl w:val="0"/>
                <w:numId w:val="4"/>
              </w:numPr>
              <w:jc w:val="both"/>
              <w:rPr>
                <w:rFonts w:asciiTheme="minorHAnsi" w:hAnsiTheme="minorHAnsi" w:cstheme="minorHAnsi"/>
                <w:sz w:val="22"/>
                <w:szCs w:val="22"/>
                <w:lang w:val="mk-MK"/>
              </w:rPr>
            </w:pPr>
            <w:r w:rsidRPr="004B4CD2">
              <w:rPr>
                <w:rFonts w:asciiTheme="minorHAnsi" w:hAnsiTheme="minorHAnsi" w:cstheme="minorHAnsi"/>
                <w:sz w:val="22"/>
                <w:szCs w:val="22"/>
                <w:lang w:val="mk-MK"/>
              </w:rPr>
              <w:t>Редовниот основен капитал не смее да биде понизок од 4,5% од</w:t>
            </w:r>
            <w:r w:rsidRPr="004B4CD2">
              <w:rPr>
                <w:rFonts w:asciiTheme="minorHAnsi" w:hAnsiTheme="minorHAnsi" w:cstheme="minorHAnsi"/>
                <w:sz w:val="22"/>
                <w:szCs w:val="22"/>
                <w:lang w:val="mk-MK"/>
              </w:rPr>
              <w:br/>
              <w:t>активата пондерирана според ризиците (стапка на редовен основен</w:t>
            </w:r>
            <w:r w:rsidRPr="004B4CD2">
              <w:rPr>
                <w:rFonts w:asciiTheme="minorHAnsi" w:hAnsiTheme="minorHAnsi" w:cstheme="minorHAnsi"/>
                <w:sz w:val="22"/>
                <w:szCs w:val="22"/>
                <w:lang w:val="mk-MK"/>
              </w:rPr>
              <w:br/>
              <w:t>капитал);</w:t>
            </w:r>
          </w:p>
          <w:p w14:paraId="1183655E" w14:textId="77777777" w:rsidR="004B4CD2" w:rsidRPr="004B4CD2" w:rsidRDefault="004B4CD2" w:rsidP="004B4CD2">
            <w:pPr>
              <w:pStyle w:val="Default"/>
              <w:numPr>
                <w:ilvl w:val="0"/>
                <w:numId w:val="4"/>
              </w:numPr>
              <w:jc w:val="both"/>
              <w:rPr>
                <w:rFonts w:asciiTheme="minorHAnsi" w:hAnsiTheme="minorHAnsi" w:cstheme="minorHAnsi"/>
                <w:sz w:val="22"/>
                <w:szCs w:val="22"/>
                <w:lang w:val="mk-MK"/>
              </w:rPr>
            </w:pPr>
            <w:r w:rsidRPr="004B4CD2">
              <w:rPr>
                <w:rFonts w:asciiTheme="minorHAnsi" w:hAnsiTheme="minorHAnsi" w:cstheme="minorHAnsi"/>
                <w:sz w:val="22"/>
                <w:szCs w:val="22"/>
                <w:lang w:val="mk-MK"/>
              </w:rPr>
              <w:t>Основниот капитал не смее да биде понизок од 6% од активата</w:t>
            </w:r>
            <w:r w:rsidRPr="004B4CD2">
              <w:rPr>
                <w:rFonts w:asciiTheme="minorHAnsi" w:hAnsiTheme="minorHAnsi" w:cstheme="minorHAnsi"/>
                <w:sz w:val="22"/>
                <w:szCs w:val="22"/>
                <w:lang w:val="mk-MK"/>
              </w:rPr>
              <w:br/>
              <w:t>пондерирана според ризиците (стапка на основен капитал).</w:t>
            </w:r>
          </w:p>
          <w:p w14:paraId="78D482B7" w14:textId="77777777" w:rsidR="004B4CD2" w:rsidRPr="004B4CD2" w:rsidRDefault="004B4CD2" w:rsidP="00404624">
            <w:pPr>
              <w:pStyle w:val="Default"/>
              <w:jc w:val="both"/>
              <w:rPr>
                <w:rFonts w:asciiTheme="minorHAnsi" w:hAnsiTheme="minorHAnsi" w:cstheme="minorHAnsi"/>
                <w:sz w:val="22"/>
                <w:szCs w:val="22"/>
                <w:lang w:val="mk-MK"/>
              </w:rPr>
            </w:pPr>
          </w:p>
          <w:p w14:paraId="0BA78FD5" w14:textId="77777777" w:rsidR="004B4CD2" w:rsidRPr="004B4CD2" w:rsidRDefault="004B4CD2" w:rsidP="004B4CD2">
            <w:pPr>
              <w:pStyle w:val="Default"/>
              <w:numPr>
                <w:ilvl w:val="0"/>
                <w:numId w:val="3"/>
              </w:numPr>
              <w:jc w:val="both"/>
              <w:rPr>
                <w:rFonts w:asciiTheme="minorHAnsi" w:hAnsiTheme="minorHAnsi" w:cstheme="minorHAnsi"/>
                <w:b/>
                <w:bCs/>
                <w:sz w:val="22"/>
                <w:szCs w:val="22"/>
                <w:lang w:val="mk-MK"/>
              </w:rPr>
            </w:pPr>
            <w:r w:rsidRPr="004B4CD2">
              <w:rPr>
                <w:rFonts w:asciiTheme="minorHAnsi" w:hAnsiTheme="minorHAnsi" w:cstheme="minorHAnsi"/>
                <w:b/>
                <w:bCs/>
                <w:sz w:val="22"/>
                <w:szCs w:val="22"/>
                <w:lang w:val="mk-MK"/>
              </w:rPr>
              <w:t>Основен капитал</w:t>
            </w:r>
          </w:p>
          <w:p w14:paraId="3645A0D7" w14:textId="77777777" w:rsidR="004B4CD2" w:rsidRPr="004B4CD2" w:rsidRDefault="004B4CD2" w:rsidP="00404624">
            <w:pPr>
              <w:pStyle w:val="Default"/>
              <w:jc w:val="both"/>
              <w:rPr>
                <w:rFonts w:asciiTheme="minorHAnsi" w:hAnsiTheme="minorHAnsi" w:cstheme="minorHAnsi"/>
                <w:sz w:val="22"/>
                <w:szCs w:val="22"/>
                <w:lang w:val="mk-MK"/>
              </w:rPr>
            </w:pPr>
            <w:r w:rsidRPr="004B4CD2">
              <w:rPr>
                <w:rFonts w:asciiTheme="minorHAnsi" w:hAnsiTheme="minorHAnsi" w:cstheme="minorHAnsi"/>
                <w:sz w:val="22"/>
                <w:szCs w:val="22"/>
                <w:lang w:val="mk-MK"/>
              </w:rPr>
              <w:t>Основниот капитал на банката претставува збир на редовниот основен капитал, и додатниот основен капитал.</w:t>
            </w:r>
          </w:p>
          <w:p w14:paraId="2838365E" w14:textId="77777777" w:rsidR="004B4CD2" w:rsidRPr="004B4CD2" w:rsidRDefault="004B4CD2" w:rsidP="00404624">
            <w:pPr>
              <w:pStyle w:val="Default"/>
              <w:jc w:val="both"/>
              <w:rPr>
                <w:rFonts w:asciiTheme="minorHAnsi" w:hAnsiTheme="minorHAnsi" w:cstheme="minorHAnsi"/>
                <w:b/>
                <w:bCs/>
                <w:sz w:val="22"/>
                <w:szCs w:val="22"/>
                <w:lang w:val="mk-MK"/>
              </w:rPr>
            </w:pPr>
          </w:p>
          <w:p w14:paraId="0F8A7AF5" w14:textId="77777777" w:rsidR="004B4CD2" w:rsidRPr="004B4CD2" w:rsidRDefault="004B4CD2" w:rsidP="00404624">
            <w:pPr>
              <w:pStyle w:val="Default"/>
              <w:jc w:val="both"/>
              <w:rPr>
                <w:rFonts w:asciiTheme="minorHAnsi" w:hAnsiTheme="minorHAnsi" w:cstheme="minorHAnsi"/>
                <w:b/>
                <w:bCs/>
                <w:sz w:val="22"/>
                <w:szCs w:val="22"/>
                <w:lang w:val="mk-MK"/>
              </w:rPr>
            </w:pPr>
            <w:r w:rsidRPr="004B4CD2">
              <w:rPr>
                <w:rFonts w:asciiTheme="minorHAnsi" w:hAnsiTheme="minorHAnsi" w:cstheme="minorHAnsi"/>
                <w:b/>
                <w:bCs/>
                <w:sz w:val="22"/>
                <w:szCs w:val="22"/>
                <w:lang w:val="mk-MK"/>
              </w:rPr>
              <w:t xml:space="preserve">Редовен основен капитал </w:t>
            </w:r>
          </w:p>
          <w:p w14:paraId="4E9BD56E" w14:textId="77777777" w:rsidR="004B4CD2" w:rsidRPr="004B4CD2" w:rsidRDefault="004B4CD2" w:rsidP="00404624">
            <w:pPr>
              <w:pStyle w:val="Default"/>
              <w:jc w:val="both"/>
              <w:rPr>
                <w:rFonts w:asciiTheme="minorHAnsi" w:hAnsiTheme="minorHAnsi" w:cstheme="minorHAnsi"/>
                <w:sz w:val="22"/>
                <w:szCs w:val="22"/>
                <w:lang w:val="mk-MK"/>
              </w:rPr>
            </w:pPr>
            <w:r w:rsidRPr="004B4CD2">
              <w:rPr>
                <w:rFonts w:asciiTheme="minorHAnsi" w:hAnsiTheme="minorHAnsi" w:cstheme="minorHAnsi"/>
                <w:sz w:val="22"/>
                <w:szCs w:val="22"/>
                <w:lang w:val="mk-MK"/>
              </w:rPr>
              <w:t>Редовниот основен капитал на банката во целост се состои од капитални инструменти</w:t>
            </w:r>
          </w:p>
          <w:p w14:paraId="4B57C14A" w14:textId="77777777" w:rsidR="004B4CD2" w:rsidRPr="004B4CD2" w:rsidRDefault="004B4CD2" w:rsidP="00404624">
            <w:pPr>
              <w:pStyle w:val="Default"/>
              <w:jc w:val="both"/>
              <w:rPr>
                <w:rFonts w:asciiTheme="minorHAnsi" w:hAnsiTheme="minorHAnsi" w:cstheme="minorHAnsi"/>
                <w:sz w:val="22"/>
                <w:szCs w:val="22"/>
                <w:lang w:val="mk-MK"/>
              </w:rPr>
            </w:pPr>
          </w:p>
          <w:p w14:paraId="009F160B" w14:textId="77777777" w:rsidR="004B4CD2" w:rsidRPr="004B4CD2" w:rsidRDefault="004B4CD2" w:rsidP="00404624">
            <w:pPr>
              <w:pStyle w:val="Default"/>
              <w:jc w:val="both"/>
              <w:rPr>
                <w:rFonts w:asciiTheme="minorHAnsi" w:hAnsiTheme="minorHAnsi" w:cstheme="minorHAnsi"/>
                <w:sz w:val="22"/>
                <w:szCs w:val="22"/>
                <w:lang w:val="mk-MK"/>
              </w:rPr>
            </w:pPr>
            <w:r w:rsidRPr="004B4CD2">
              <w:rPr>
                <w:rFonts w:asciiTheme="minorHAnsi" w:hAnsiTheme="minorHAnsi" w:cstheme="minorHAnsi"/>
                <w:sz w:val="22"/>
                <w:szCs w:val="22"/>
                <w:lang w:val="mk-MK"/>
              </w:rPr>
              <w:t>Капиталните инструменти кои влегуваат во редовниот основниот капитал, ги исполнуваат следните услови:</w:t>
            </w:r>
          </w:p>
          <w:p w14:paraId="721D5585" w14:textId="77777777" w:rsidR="004B4CD2" w:rsidRPr="004B4CD2" w:rsidRDefault="004B4CD2" w:rsidP="004B4CD2">
            <w:pPr>
              <w:pStyle w:val="Default"/>
              <w:numPr>
                <w:ilvl w:val="0"/>
                <w:numId w:val="5"/>
              </w:numPr>
              <w:jc w:val="both"/>
              <w:rPr>
                <w:rFonts w:asciiTheme="minorHAnsi" w:hAnsiTheme="minorHAnsi" w:cstheme="minorHAnsi"/>
                <w:sz w:val="22"/>
                <w:szCs w:val="22"/>
                <w:lang w:val="mk-MK"/>
              </w:rPr>
            </w:pPr>
            <w:r w:rsidRPr="004B4CD2">
              <w:rPr>
                <w:rFonts w:asciiTheme="minorHAnsi" w:hAnsiTheme="minorHAnsi" w:cstheme="minorHAnsi"/>
                <w:sz w:val="22"/>
                <w:szCs w:val="22"/>
                <w:lang w:val="mk-MK"/>
              </w:rPr>
              <w:t xml:space="preserve">Издадени се од банката врз основа на одлука на собранието на акционери; </w:t>
            </w:r>
          </w:p>
          <w:p w14:paraId="6A66D1FE" w14:textId="77777777" w:rsidR="004B4CD2" w:rsidRPr="004B4CD2" w:rsidRDefault="004B4CD2" w:rsidP="004B4CD2">
            <w:pPr>
              <w:pStyle w:val="Default"/>
              <w:numPr>
                <w:ilvl w:val="0"/>
                <w:numId w:val="5"/>
              </w:numPr>
              <w:jc w:val="both"/>
              <w:rPr>
                <w:rFonts w:asciiTheme="minorHAnsi" w:hAnsiTheme="minorHAnsi" w:cstheme="minorHAnsi"/>
                <w:sz w:val="22"/>
                <w:szCs w:val="22"/>
                <w:lang w:val="mk-MK"/>
              </w:rPr>
            </w:pPr>
            <w:r w:rsidRPr="004B4CD2">
              <w:rPr>
                <w:rFonts w:asciiTheme="minorHAnsi" w:hAnsiTheme="minorHAnsi" w:cstheme="minorHAnsi"/>
                <w:sz w:val="22"/>
                <w:szCs w:val="22"/>
                <w:lang w:val="mk-MK"/>
              </w:rPr>
              <w:t>Уплатени се во целост, при што банката не смее да го финансира нивното купување, директно или индиректно;</w:t>
            </w:r>
          </w:p>
          <w:p w14:paraId="0592DA43" w14:textId="77777777" w:rsidR="004B4CD2" w:rsidRPr="004B4CD2" w:rsidRDefault="004B4CD2" w:rsidP="004B4CD2">
            <w:pPr>
              <w:pStyle w:val="Default"/>
              <w:numPr>
                <w:ilvl w:val="0"/>
                <w:numId w:val="5"/>
              </w:numPr>
              <w:jc w:val="both"/>
              <w:rPr>
                <w:rFonts w:asciiTheme="minorHAnsi" w:hAnsiTheme="minorHAnsi" w:cstheme="minorHAnsi"/>
                <w:sz w:val="22"/>
                <w:szCs w:val="22"/>
                <w:lang w:val="mk-MK"/>
              </w:rPr>
            </w:pPr>
            <w:r w:rsidRPr="004B4CD2">
              <w:rPr>
                <w:rFonts w:asciiTheme="minorHAnsi" w:hAnsiTheme="minorHAnsi" w:cstheme="minorHAnsi"/>
                <w:sz w:val="22"/>
                <w:szCs w:val="22"/>
                <w:lang w:val="mk-MK"/>
              </w:rPr>
              <w:t>Имаат третман на акционерски капитал, согласно со прописите за сметководство и сметководствените стандарди коишто важат за банките и се во целост и неограничено расположливи за покривање на загубите</w:t>
            </w:r>
          </w:p>
          <w:p w14:paraId="6DCBFFC6" w14:textId="77777777" w:rsidR="004B4CD2" w:rsidRPr="004B4CD2" w:rsidRDefault="004B4CD2" w:rsidP="004B4CD2">
            <w:pPr>
              <w:pStyle w:val="Default"/>
              <w:numPr>
                <w:ilvl w:val="0"/>
                <w:numId w:val="5"/>
              </w:numPr>
              <w:jc w:val="both"/>
              <w:rPr>
                <w:rFonts w:asciiTheme="minorHAnsi" w:hAnsiTheme="minorHAnsi" w:cstheme="minorHAnsi"/>
                <w:sz w:val="22"/>
                <w:szCs w:val="22"/>
                <w:lang w:val="mk-MK"/>
              </w:rPr>
            </w:pPr>
            <w:r w:rsidRPr="004B4CD2">
              <w:rPr>
                <w:rFonts w:asciiTheme="minorHAnsi" w:hAnsiTheme="minorHAnsi" w:cstheme="minorHAnsi"/>
                <w:sz w:val="22"/>
                <w:szCs w:val="22"/>
                <w:lang w:val="mk-MK"/>
              </w:rPr>
              <w:t>Во билансот на состојба на банката се прикажани јасно и одвоено</w:t>
            </w:r>
          </w:p>
          <w:p w14:paraId="46203B0D" w14:textId="77777777" w:rsidR="004B4CD2" w:rsidRPr="004B4CD2" w:rsidRDefault="004B4CD2" w:rsidP="004B4CD2">
            <w:pPr>
              <w:pStyle w:val="Default"/>
              <w:numPr>
                <w:ilvl w:val="0"/>
                <w:numId w:val="5"/>
              </w:numPr>
              <w:jc w:val="both"/>
              <w:rPr>
                <w:rFonts w:asciiTheme="minorHAnsi" w:hAnsiTheme="minorHAnsi" w:cstheme="minorHAnsi"/>
                <w:sz w:val="22"/>
                <w:szCs w:val="22"/>
                <w:lang w:val="mk-MK"/>
              </w:rPr>
            </w:pPr>
            <w:r w:rsidRPr="004B4CD2">
              <w:rPr>
                <w:rFonts w:asciiTheme="minorHAnsi" w:hAnsiTheme="minorHAnsi" w:cstheme="minorHAnsi"/>
                <w:sz w:val="22"/>
                <w:szCs w:val="22"/>
                <w:lang w:val="mk-MK"/>
              </w:rPr>
              <w:t>Тие се безусловно неповратни, немаат рок на достасување и не можат да се откупат, отплатат, односно не може да се намали нивната вредност, освен во случај на стечај или ликвидација на банката или по добиена согласност од Народната банка</w:t>
            </w:r>
          </w:p>
          <w:p w14:paraId="5D863FC2" w14:textId="77777777" w:rsidR="004B4CD2" w:rsidRPr="004B4CD2" w:rsidRDefault="004B4CD2" w:rsidP="004B4CD2">
            <w:pPr>
              <w:pStyle w:val="Default"/>
              <w:numPr>
                <w:ilvl w:val="0"/>
                <w:numId w:val="5"/>
              </w:numPr>
              <w:jc w:val="both"/>
              <w:rPr>
                <w:rFonts w:asciiTheme="minorHAnsi" w:hAnsiTheme="minorHAnsi" w:cstheme="minorHAnsi"/>
                <w:sz w:val="22"/>
                <w:szCs w:val="22"/>
                <w:lang w:val="mk-MK"/>
              </w:rPr>
            </w:pPr>
            <w:r w:rsidRPr="004B4CD2">
              <w:rPr>
                <w:rFonts w:asciiTheme="minorHAnsi" w:hAnsiTheme="minorHAnsi" w:cstheme="minorHAnsi"/>
                <w:sz w:val="22"/>
                <w:szCs w:val="22"/>
                <w:lang w:val="mk-MK"/>
              </w:rPr>
              <w:t>Не содржат клаузули или друг вид одредби коишто даваат можност за нивен откуп, отплата или намалување на нивната вредност, освен во случај на стечај или ликвидација на банката</w:t>
            </w:r>
          </w:p>
          <w:p w14:paraId="0248CDBF" w14:textId="77777777" w:rsidR="004B4CD2" w:rsidRPr="004B4CD2" w:rsidRDefault="004B4CD2" w:rsidP="004B4CD2">
            <w:pPr>
              <w:pStyle w:val="Default"/>
              <w:numPr>
                <w:ilvl w:val="0"/>
                <w:numId w:val="5"/>
              </w:numPr>
              <w:jc w:val="both"/>
              <w:rPr>
                <w:rFonts w:asciiTheme="minorHAnsi" w:hAnsiTheme="minorHAnsi" w:cstheme="minorHAnsi"/>
                <w:sz w:val="22"/>
                <w:szCs w:val="22"/>
                <w:lang w:val="mk-MK"/>
              </w:rPr>
            </w:pPr>
            <w:r w:rsidRPr="004B4CD2">
              <w:rPr>
                <w:rFonts w:asciiTheme="minorHAnsi" w:hAnsiTheme="minorHAnsi" w:cstheme="minorHAnsi"/>
                <w:sz w:val="22"/>
                <w:szCs w:val="22"/>
                <w:lang w:val="mk-MK"/>
              </w:rPr>
              <w:t>Имаат највисок квалитет во однос на другите капитални инструменти на банката</w:t>
            </w:r>
          </w:p>
          <w:p w14:paraId="3E09CAD0" w14:textId="77777777" w:rsidR="004B4CD2" w:rsidRPr="004B4CD2" w:rsidRDefault="004B4CD2" w:rsidP="004B4CD2">
            <w:pPr>
              <w:pStyle w:val="Default"/>
              <w:numPr>
                <w:ilvl w:val="0"/>
                <w:numId w:val="5"/>
              </w:numPr>
              <w:jc w:val="both"/>
              <w:rPr>
                <w:rFonts w:asciiTheme="minorHAnsi" w:hAnsiTheme="minorHAnsi" w:cstheme="minorHAnsi"/>
                <w:color w:val="auto"/>
                <w:sz w:val="22"/>
                <w:szCs w:val="22"/>
                <w:lang w:val="mk-MK"/>
              </w:rPr>
            </w:pPr>
            <w:r w:rsidRPr="004B4CD2">
              <w:rPr>
                <w:rFonts w:asciiTheme="minorHAnsi" w:hAnsiTheme="minorHAnsi" w:cstheme="minorHAnsi"/>
                <w:color w:val="auto"/>
                <w:sz w:val="22"/>
                <w:szCs w:val="22"/>
                <w:lang w:val="mk-MK"/>
              </w:rPr>
              <w:t>Во случај на стечај или ликвидација на банката овие инструменти се исплаќаат последни во однос на сите други обврски на банката кон останатите доверители</w:t>
            </w:r>
          </w:p>
          <w:p w14:paraId="18B670C6" w14:textId="77777777" w:rsidR="004B4CD2" w:rsidRPr="004B4CD2" w:rsidRDefault="004B4CD2" w:rsidP="004B4CD2">
            <w:pPr>
              <w:pStyle w:val="Default"/>
              <w:numPr>
                <w:ilvl w:val="0"/>
                <w:numId w:val="5"/>
              </w:numPr>
              <w:jc w:val="both"/>
              <w:rPr>
                <w:rFonts w:asciiTheme="minorHAnsi" w:hAnsiTheme="minorHAnsi" w:cstheme="minorHAnsi"/>
                <w:sz w:val="22"/>
                <w:szCs w:val="22"/>
                <w:lang w:val="mk-MK"/>
              </w:rPr>
            </w:pPr>
            <w:r w:rsidRPr="004B4CD2">
              <w:rPr>
                <w:rFonts w:asciiTheme="minorHAnsi" w:hAnsiTheme="minorHAnsi" w:cstheme="minorHAnsi"/>
                <w:sz w:val="22"/>
                <w:szCs w:val="22"/>
                <w:lang w:val="mk-MK"/>
              </w:rPr>
              <w:t>Во случај на стечај или ликвидација на банката, имателите на овие инструменти имаат право на наплата од остатокот од активата на банката којшто ќе остане по исплатата на останатите обврски</w:t>
            </w:r>
          </w:p>
          <w:p w14:paraId="2A1112EE" w14:textId="77777777" w:rsidR="004B4CD2" w:rsidRPr="004B4CD2" w:rsidRDefault="004B4CD2" w:rsidP="004B4CD2">
            <w:pPr>
              <w:pStyle w:val="Default"/>
              <w:numPr>
                <w:ilvl w:val="0"/>
                <w:numId w:val="5"/>
              </w:numPr>
              <w:jc w:val="both"/>
              <w:rPr>
                <w:rFonts w:asciiTheme="minorHAnsi" w:hAnsiTheme="minorHAnsi" w:cstheme="minorHAnsi"/>
                <w:sz w:val="22"/>
                <w:szCs w:val="22"/>
                <w:lang w:val="mk-MK"/>
              </w:rPr>
            </w:pPr>
            <w:r w:rsidRPr="004B4CD2">
              <w:rPr>
                <w:rFonts w:asciiTheme="minorHAnsi" w:hAnsiTheme="minorHAnsi" w:cstheme="minorHAnsi"/>
                <w:sz w:val="22"/>
                <w:szCs w:val="22"/>
                <w:lang w:val="mk-MK"/>
              </w:rPr>
              <w:t>Не се обезбедени или покриени со каква било гаранција од страна на банката или лице поврзано со неа</w:t>
            </w:r>
          </w:p>
          <w:p w14:paraId="6C0FF45F" w14:textId="77777777" w:rsidR="004B4CD2" w:rsidRPr="004B4CD2" w:rsidRDefault="004B4CD2" w:rsidP="004B4CD2">
            <w:pPr>
              <w:pStyle w:val="Default"/>
              <w:numPr>
                <w:ilvl w:val="0"/>
                <w:numId w:val="5"/>
              </w:numPr>
              <w:jc w:val="both"/>
              <w:rPr>
                <w:rFonts w:asciiTheme="minorHAnsi" w:hAnsiTheme="minorHAnsi" w:cstheme="minorHAnsi"/>
                <w:color w:val="auto"/>
                <w:sz w:val="22"/>
                <w:szCs w:val="22"/>
                <w:lang w:val="ru-RU"/>
              </w:rPr>
            </w:pPr>
            <w:r w:rsidRPr="004B4CD2">
              <w:rPr>
                <w:rFonts w:asciiTheme="minorHAnsi" w:hAnsiTheme="minorHAnsi" w:cstheme="minorHAnsi"/>
                <w:color w:val="auto"/>
                <w:sz w:val="22"/>
                <w:szCs w:val="22"/>
                <w:lang w:val="mk-MK"/>
              </w:rPr>
              <w:t>Не подлежат на каков било договор што го намалува степенот на субординација на инструментот</w:t>
            </w:r>
          </w:p>
          <w:p w14:paraId="3B1EDE64" w14:textId="77777777" w:rsidR="004B4CD2" w:rsidRPr="004B4CD2" w:rsidRDefault="004B4CD2" w:rsidP="00404624">
            <w:pPr>
              <w:pStyle w:val="Default"/>
              <w:rPr>
                <w:rFonts w:asciiTheme="minorHAnsi" w:hAnsiTheme="minorHAnsi" w:cstheme="minorHAnsi"/>
                <w:color w:val="auto"/>
                <w:sz w:val="22"/>
                <w:szCs w:val="22"/>
                <w:lang w:val="ru-RU"/>
              </w:rPr>
            </w:pPr>
          </w:p>
          <w:p w14:paraId="2A46822A" w14:textId="77777777" w:rsidR="004B4CD2" w:rsidRPr="004B4CD2" w:rsidRDefault="004B4CD2" w:rsidP="00404624">
            <w:pPr>
              <w:pStyle w:val="Default"/>
              <w:rPr>
                <w:rFonts w:asciiTheme="minorHAnsi" w:hAnsiTheme="minorHAnsi" w:cstheme="minorHAnsi"/>
                <w:b/>
                <w:bCs/>
                <w:sz w:val="22"/>
                <w:szCs w:val="22"/>
                <w:lang w:val="mk-MK"/>
              </w:rPr>
            </w:pPr>
            <w:r w:rsidRPr="004B4CD2">
              <w:rPr>
                <w:rFonts w:asciiTheme="minorHAnsi" w:hAnsiTheme="minorHAnsi" w:cstheme="minorHAnsi"/>
                <w:b/>
                <w:bCs/>
                <w:color w:val="auto"/>
                <w:sz w:val="22"/>
                <w:szCs w:val="22"/>
                <w:lang w:val="ru-RU"/>
              </w:rPr>
              <w:t xml:space="preserve">2. </w:t>
            </w:r>
            <w:r w:rsidRPr="004B4CD2">
              <w:rPr>
                <w:rFonts w:asciiTheme="minorHAnsi" w:hAnsiTheme="minorHAnsi" w:cstheme="minorHAnsi"/>
                <w:b/>
                <w:bCs/>
                <w:sz w:val="22"/>
                <w:szCs w:val="22"/>
                <w:lang w:val="mk-MK"/>
              </w:rPr>
              <w:t>Дополнителен капитал</w:t>
            </w:r>
          </w:p>
          <w:p w14:paraId="6DFC44F2" w14:textId="77777777" w:rsidR="004B4CD2" w:rsidRPr="004B4CD2" w:rsidRDefault="004B4CD2" w:rsidP="00404624">
            <w:pPr>
              <w:pStyle w:val="Default"/>
              <w:rPr>
                <w:rFonts w:asciiTheme="minorHAnsi" w:hAnsiTheme="minorHAnsi" w:cstheme="minorHAnsi"/>
                <w:b/>
                <w:bCs/>
                <w:sz w:val="22"/>
                <w:szCs w:val="22"/>
                <w:lang w:val="mk-MK"/>
              </w:rPr>
            </w:pPr>
          </w:p>
          <w:p w14:paraId="01EDE0E5" w14:textId="77777777" w:rsidR="004B4CD2" w:rsidRPr="004B4CD2" w:rsidRDefault="004B4CD2" w:rsidP="00404624">
            <w:pPr>
              <w:pStyle w:val="Default"/>
              <w:jc w:val="both"/>
              <w:rPr>
                <w:rFonts w:asciiTheme="minorHAnsi" w:hAnsiTheme="minorHAnsi" w:cstheme="minorHAnsi"/>
                <w:bCs/>
                <w:sz w:val="22"/>
                <w:szCs w:val="22"/>
                <w:lang w:val="mk-MK"/>
              </w:rPr>
            </w:pPr>
            <w:r w:rsidRPr="004B4CD2">
              <w:rPr>
                <w:rFonts w:asciiTheme="minorHAnsi" w:hAnsiTheme="minorHAnsi" w:cstheme="minorHAnsi"/>
                <w:bCs/>
                <w:sz w:val="22"/>
                <w:szCs w:val="22"/>
                <w:lang w:val="mk-MK"/>
              </w:rPr>
              <w:t>Дополнителниот капитал на банката се состои од капиталните инструменти  коишто ги исполнуваат следните критериуми:</w:t>
            </w:r>
          </w:p>
          <w:p w14:paraId="1DD950BD" w14:textId="77777777" w:rsidR="004B4CD2" w:rsidRPr="004B4CD2" w:rsidRDefault="004B4CD2" w:rsidP="004B4CD2">
            <w:pPr>
              <w:pStyle w:val="Default"/>
              <w:numPr>
                <w:ilvl w:val="0"/>
                <w:numId w:val="6"/>
              </w:numPr>
              <w:jc w:val="both"/>
              <w:rPr>
                <w:rFonts w:asciiTheme="minorHAnsi" w:hAnsiTheme="minorHAnsi" w:cstheme="minorHAnsi"/>
                <w:bCs/>
                <w:sz w:val="22"/>
                <w:szCs w:val="22"/>
                <w:lang w:val="mk-MK"/>
              </w:rPr>
            </w:pPr>
            <w:r w:rsidRPr="004B4CD2">
              <w:rPr>
                <w:rFonts w:asciiTheme="minorHAnsi" w:hAnsiTheme="minorHAnsi" w:cstheme="minorHAnsi"/>
                <w:bCs/>
                <w:sz w:val="22"/>
                <w:szCs w:val="22"/>
                <w:lang w:val="mk-MK"/>
              </w:rPr>
              <w:t>Издадени се од, односно одобрени, и се на банката и уплатени се во целост</w:t>
            </w:r>
          </w:p>
          <w:p w14:paraId="34FB2832" w14:textId="77777777" w:rsidR="004B4CD2" w:rsidRPr="004B4CD2" w:rsidRDefault="004B4CD2" w:rsidP="004B4CD2">
            <w:pPr>
              <w:pStyle w:val="Default"/>
              <w:numPr>
                <w:ilvl w:val="0"/>
                <w:numId w:val="6"/>
              </w:numPr>
              <w:jc w:val="both"/>
              <w:rPr>
                <w:rFonts w:asciiTheme="minorHAnsi" w:hAnsiTheme="minorHAnsi" w:cstheme="minorHAnsi"/>
                <w:bCs/>
                <w:sz w:val="22"/>
                <w:szCs w:val="22"/>
                <w:lang w:val="mk-MK"/>
              </w:rPr>
            </w:pPr>
            <w:r w:rsidRPr="004B4CD2">
              <w:rPr>
                <w:rFonts w:asciiTheme="minorHAnsi" w:hAnsiTheme="minorHAnsi" w:cstheme="minorHAnsi"/>
                <w:bCs/>
                <w:sz w:val="22"/>
                <w:szCs w:val="22"/>
                <w:lang w:val="mk-MK"/>
              </w:rPr>
              <w:t>Не се купени, односно не се одобрени од страна на банката, нејзина подружница или лице во кое банката има учество</w:t>
            </w:r>
          </w:p>
          <w:p w14:paraId="2241E639" w14:textId="77777777" w:rsidR="004B4CD2" w:rsidRPr="004B4CD2" w:rsidRDefault="004B4CD2" w:rsidP="004B4CD2">
            <w:pPr>
              <w:pStyle w:val="Default"/>
              <w:numPr>
                <w:ilvl w:val="0"/>
                <w:numId w:val="6"/>
              </w:numPr>
              <w:jc w:val="both"/>
              <w:rPr>
                <w:rFonts w:asciiTheme="minorHAnsi" w:hAnsiTheme="minorHAnsi" w:cstheme="minorHAnsi"/>
                <w:bCs/>
                <w:sz w:val="22"/>
                <w:szCs w:val="22"/>
                <w:lang w:val="mk-MK"/>
              </w:rPr>
            </w:pPr>
            <w:r w:rsidRPr="004B4CD2">
              <w:rPr>
                <w:rFonts w:asciiTheme="minorHAnsi" w:hAnsiTheme="minorHAnsi" w:cstheme="minorHAnsi"/>
                <w:bCs/>
                <w:sz w:val="22"/>
                <w:szCs w:val="22"/>
                <w:lang w:val="mk-MK"/>
              </w:rPr>
              <w:lastRenderedPageBreak/>
              <w:t>Купувањето или одобрувањето на овие позиции не е финансирано директно или индиректно од банката</w:t>
            </w:r>
          </w:p>
          <w:p w14:paraId="5529ED4D" w14:textId="77777777" w:rsidR="004B4CD2" w:rsidRPr="004B4CD2" w:rsidRDefault="004B4CD2" w:rsidP="004B4CD2">
            <w:pPr>
              <w:pStyle w:val="Default"/>
              <w:numPr>
                <w:ilvl w:val="0"/>
                <w:numId w:val="6"/>
              </w:numPr>
              <w:jc w:val="both"/>
              <w:rPr>
                <w:rFonts w:asciiTheme="minorHAnsi" w:hAnsiTheme="minorHAnsi" w:cstheme="minorHAnsi"/>
                <w:bCs/>
                <w:sz w:val="22"/>
                <w:szCs w:val="22"/>
                <w:lang w:val="mk-MK"/>
              </w:rPr>
            </w:pPr>
            <w:r w:rsidRPr="004B4CD2">
              <w:rPr>
                <w:rFonts w:asciiTheme="minorHAnsi" w:hAnsiTheme="minorHAnsi" w:cstheme="minorHAnsi"/>
                <w:bCs/>
                <w:sz w:val="22"/>
                <w:szCs w:val="22"/>
                <w:lang w:val="mk-MK"/>
              </w:rPr>
              <w:t>Обврските врз основа на овие позиции се целосно подредени на обврските кон останатите депоненти и доверители на банката</w:t>
            </w:r>
          </w:p>
          <w:p w14:paraId="44817F96" w14:textId="77777777" w:rsidR="004B4CD2" w:rsidRPr="004B4CD2" w:rsidRDefault="004B4CD2" w:rsidP="004B4CD2">
            <w:pPr>
              <w:pStyle w:val="Default"/>
              <w:numPr>
                <w:ilvl w:val="0"/>
                <w:numId w:val="6"/>
              </w:numPr>
              <w:jc w:val="both"/>
              <w:rPr>
                <w:rFonts w:asciiTheme="minorHAnsi" w:hAnsiTheme="minorHAnsi" w:cstheme="minorHAnsi"/>
                <w:bCs/>
                <w:sz w:val="22"/>
                <w:szCs w:val="22"/>
                <w:lang w:val="mk-MK"/>
              </w:rPr>
            </w:pPr>
            <w:r w:rsidRPr="004B4CD2">
              <w:rPr>
                <w:rFonts w:asciiTheme="minorHAnsi" w:hAnsiTheme="minorHAnsi" w:cstheme="minorHAnsi"/>
                <w:bCs/>
                <w:sz w:val="22"/>
                <w:szCs w:val="22"/>
                <w:lang w:val="mk-MK"/>
              </w:rPr>
              <w:t>Не се обезбедени или покриени со каква било гаранција од страна на банката или лице поврзано со неа, со што би се намалил степенот на субординација на овие инструменти</w:t>
            </w:r>
          </w:p>
          <w:p w14:paraId="37086473" w14:textId="77777777" w:rsidR="004B4CD2" w:rsidRPr="004B4CD2" w:rsidRDefault="004B4CD2" w:rsidP="004B4CD2">
            <w:pPr>
              <w:pStyle w:val="Default"/>
              <w:numPr>
                <w:ilvl w:val="0"/>
                <w:numId w:val="6"/>
              </w:numPr>
              <w:jc w:val="both"/>
              <w:rPr>
                <w:rFonts w:asciiTheme="minorHAnsi" w:hAnsiTheme="minorHAnsi" w:cstheme="minorHAnsi"/>
                <w:bCs/>
                <w:sz w:val="22"/>
                <w:szCs w:val="22"/>
                <w:lang w:val="mk-MK"/>
              </w:rPr>
            </w:pPr>
            <w:r w:rsidRPr="004B4CD2">
              <w:rPr>
                <w:rFonts w:asciiTheme="minorHAnsi" w:hAnsiTheme="minorHAnsi" w:cstheme="minorHAnsi"/>
                <w:bCs/>
                <w:sz w:val="22"/>
                <w:szCs w:val="22"/>
                <w:lang w:val="mk-MK"/>
              </w:rPr>
              <w:t xml:space="preserve">Не подлежат на каков било договор што го намалува степенот на субординација </w:t>
            </w:r>
          </w:p>
          <w:p w14:paraId="58026A24" w14:textId="77777777" w:rsidR="004B4CD2" w:rsidRPr="004B4CD2" w:rsidRDefault="004B4CD2" w:rsidP="004B4CD2">
            <w:pPr>
              <w:pStyle w:val="Default"/>
              <w:numPr>
                <w:ilvl w:val="0"/>
                <w:numId w:val="6"/>
              </w:numPr>
              <w:jc w:val="both"/>
              <w:rPr>
                <w:rFonts w:asciiTheme="minorHAnsi" w:hAnsiTheme="minorHAnsi" w:cstheme="minorHAnsi"/>
                <w:bCs/>
                <w:sz w:val="22"/>
                <w:szCs w:val="22"/>
                <w:lang w:val="mk-MK"/>
              </w:rPr>
            </w:pPr>
            <w:r w:rsidRPr="004B4CD2">
              <w:rPr>
                <w:rFonts w:asciiTheme="minorHAnsi" w:hAnsiTheme="minorHAnsi" w:cstheme="minorHAnsi"/>
                <w:bCs/>
                <w:sz w:val="22"/>
                <w:szCs w:val="22"/>
                <w:lang w:val="mk-MK"/>
              </w:rPr>
              <w:t>Имаат рок на достасување од најмалку пет години</w:t>
            </w:r>
          </w:p>
          <w:p w14:paraId="6FAEC32A" w14:textId="77777777" w:rsidR="004B4CD2" w:rsidRPr="004B4CD2" w:rsidRDefault="004B4CD2" w:rsidP="004B4CD2">
            <w:pPr>
              <w:pStyle w:val="Default"/>
              <w:numPr>
                <w:ilvl w:val="0"/>
                <w:numId w:val="6"/>
              </w:numPr>
              <w:jc w:val="both"/>
              <w:rPr>
                <w:rFonts w:asciiTheme="minorHAnsi" w:hAnsiTheme="minorHAnsi" w:cstheme="minorHAnsi"/>
                <w:bCs/>
                <w:sz w:val="22"/>
                <w:szCs w:val="22"/>
                <w:lang w:val="mk-MK"/>
              </w:rPr>
            </w:pPr>
            <w:r w:rsidRPr="004B4CD2">
              <w:rPr>
                <w:rFonts w:asciiTheme="minorHAnsi" w:hAnsiTheme="minorHAnsi" w:cstheme="minorHAnsi"/>
                <w:bCs/>
                <w:sz w:val="22"/>
                <w:szCs w:val="22"/>
                <w:lang w:val="mk-MK"/>
              </w:rPr>
              <w:t>Во случај кога се предвидени една или повеќе опции за откуп или предвремена отплата, искористувањето на опцијата за откуп/предвремена отплата е дискреционо право само на издавачот</w:t>
            </w:r>
          </w:p>
          <w:p w14:paraId="1E82052A" w14:textId="77777777" w:rsidR="004B4CD2" w:rsidRPr="004B4CD2" w:rsidRDefault="004B4CD2" w:rsidP="004B4CD2">
            <w:pPr>
              <w:pStyle w:val="Default"/>
              <w:numPr>
                <w:ilvl w:val="0"/>
                <w:numId w:val="6"/>
              </w:numPr>
              <w:jc w:val="both"/>
              <w:rPr>
                <w:rFonts w:asciiTheme="minorHAnsi" w:hAnsiTheme="minorHAnsi" w:cstheme="minorHAnsi"/>
                <w:bCs/>
                <w:sz w:val="22"/>
                <w:szCs w:val="22"/>
                <w:lang w:val="mk-MK"/>
              </w:rPr>
            </w:pPr>
            <w:r w:rsidRPr="004B4CD2">
              <w:rPr>
                <w:rFonts w:asciiTheme="minorHAnsi" w:hAnsiTheme="minorHAnsi" w:cstheme="minorHAnsi"/>
                <w:bCs/>
                <w:sz w:val="22"/>
                <w:szCs w:val="22"/>
                <w:lang w:val="mk-MK"/>
              </w:rPr>
              <w:t>Можат да се откупат или предвремено да се отплатат само по добиена согласност од Народната банка</w:t>
            </w:r>
          </w:p>
          <w:p w14:paraId="7D0CED1A" w14:textId="77777777" w:rsidR="004B4CD2" w:rsidRPr="004B4CD2" w:rsidRDefault="004B4CD2" w:rsidP="004B4CD2">
            <w:pPr>
              <w:pStyle w:val="Default"/>
              <w:numPr>
                <w:ilvl w:val="0"/>
                <w:numId w:val="6"/>
              </w:numPr>
              <w:jc w:val="both"/>
              <w:rPr>
                <w:rFonts w:asciiTheme="minorHAnsi" w:hAnsiTheme="minorHAnsi" w:cstheme="minorHAnsi"/>
                <w:bCs/>
                <w:sz w:val="22"/>
                <w:szCs w:val="22"/>
                <w:lang w:val="mk-MK"/>
              </w:rPr>
            </w:pPr>
            <w:r w:rsidRPr="004B4CD2">
              <w:rPr>
                <w:rFonts w:asciiTheme="minorHAnsi" w:hAnsiTheme="minorHAnsi" w:cstheme="minorHAnsi"/>
                <w:bCs/>
                <w:sz w:val="22"/>
                <w:szCs w:val="22"/>
                <w:lang w:val="mk-MK"/>
              </w:rPr>
              <w:t>Не содржат клаузули или друг вид одредби, ниту пак банката поттикнува очекување дека инструментите ќе бидат откупени или предвремено отплатени, освен во случај на стечај или ликвидација на банката</w:t>
            </w:r>
          </w:p>
          <w:p w14:paraId="73F0FE45" w14:textId="77777777" w:rsidR="004B4CD2" w:rsidRPr="004B4CD2" w:rsidRDefault="004B4CD2" w:rsidP="004B4CD2">
            <w:pPr>
              <w:pStyle w:val="Default"/>
              <w:numPr>
                <w:ilvl w:val="0"/>
                <w:numId w:val="6"/>
              </w:numPr>
              <w:jc w:val="both"/>
              <w:rPr>
                <w:rFonts w:asciiTheme="minorHAnsi" w:hAnsiTheme="minorHAnsi" w:cstheme="minorHAnsi"/>
                <w:bCs/>
                <w:sz w:val="22"/>
                <w:szCs w:val="22"/>
                <w:lang w:val="mk-MK"/>
              </w:rPr>
            </w:pPr>
            <w:r w:rsidRPr="004B4CD2">
              <w:rPr>
                <w:rFonts w:asciiTheme="minorHAnsi" w:hAnsiTheme="minorHAnsi" w:cstheme="minorHAnsi"/>
                <w:bCs/>
                <w:sz w:val="22"/>
                <w:szCs w:val="22"/>
                <w:lang w:val="mk-MK"/>
              </w:rPr>
              <w:t>Не содржат клаузули или друг вид одредби коишто му даваат право на имателот на овие инструменти да бара забрзана отплата на идните побарувања врз основа на камата или главница, освен во случај на стечај или ликвидација</w:t>
            </w:r>
          </w:p>
          <w:p w14:paraId="7F5798C5" w14:textId="77777777" w:rsidR="004B4CD2" w:rsidRPr="004B4CD2" w:rsidRDefault="004B4CD2" w:rsidP="004B4CD2">
            <w:pPr>
              <w:pStyle w:val="Default"/>
              <w:numPr>
                <w:ilvl w:val="0"/>
                <w:numId w:val="6"/>
              </w:numPr>
              <w:jc w:val="both"/>
              <w:rPr>
                <w:rFonts w:asciiTheme="minorHAnsi" w:hAnsiTheme="minorHAnsi" w:cstheme="minorHAnsi"/>
                <w:bCs/>
                <w:sz w:val="22"/>
                <w:szCs w:val="22"/>
                <w:lang w:val="mk-MK"/>
              </w:rPr>
            </w:pPr>
            <w:r w:rsidRPr="004B4CD2">
              <w:rPr>
                <w:rFonts w:asciiTheme="minorHAnsi" w:hAnsiTheme="minorHAnsi" w:cstheme="minorHAnsi"/>
                <w:bCs/>
                <w:sz w:val="22"/>
                <w:szCs w:val="22"/>
                <w:lang w:val="mk-MK"/>
              </w:rPr>
              <w:t>Висината на каматата или дивидендата не треба да се менува во зависност од кредитната способност на банката или пак од кредитната способност на нејзиното матично лице</w:t>
            </w:r>
          </w:p>
          <w:p w14:paraId="5E8CB992" w14:textId="77777777" w:rsidR="004B4CD2" w:rsidRPr="004B4CD2" w:rsidRDefault="004B4CD2" w:rsidP="004B4CD2">
            <w:pPr>
              <w:pStyle w:val="Default"/>
              <w:numPr>
                <w:ilvl w:val="0"/>
                <w:numId w:val="6"/>
              </w:numPr>
              <w:rPr>
                <w:rFonts w:asciiTheme="minorHAnsi" w:hAnsiTheme="minorHAnsi" w:cstheme="minorHAnsi"/>
                <w:bCs/>
                <w:sz w:val="22"/>
                <w:szCs w:val="22"/>
                <w:lang w:val="mk-MK"/>
              </w:rPr>
            </w:pPr>
            <w:r w:rsidRPr="004B4CD2">
              <w:rPr>
                <w:rFonts w:asciiTheme="minorHAnsi" w:hAnsiTheme="minorHAnsi" w:cstheme="minorHAnsi"/>
                <w:sz w:val="22"/>
                <w:szCs w:val="22"/>
              </w:rPr>
              <w:t>Немаат третман на депозит (штеден влог) и не се предмет на осигурување од страна на Фондот за осигурување на депозити.</w:t>
            </w:r>
          </w:p>
        </w:tc>
      </w:tr>
      <w:tr w:rsidR="004B4CD2" w:rsidRPr="004B4CD2" w14:paraId="0932762E" w14:textId="77777777" w:rsidTr="00404624">
        <w:tc>
          <w:tcPr>
            <w:tcW w:w="1911" w:type="dxa"/>
            <w:vAlign w:val="center"/>
          </w:tcPr>
          <w:p w14:paraId="4A06B38B" w14:textId="77777777" w:rsidR="004B4CD2" w:rsidRPr="004B4CD2" w:rsidRDefault="004B4CD2" w:rsidP="00404624">
            <w:pPr>
              <w:rPr>
                <w:rFonts w:asciiTheme="minorHAnsi" w:hAnsiTheme="minorHAnsi" w:cstheme="minorHAnsi"/>
                <w:lang w:val="mk-MK"/>
              </w:rPr>
            </w:pPr>
            <w:r w:rsidRPr="004B4CD2">
              <w:rPr>
                <w:rFonts w:asciiTheme="minorHAnsi" w:hAnsiTheme="minorHAnsi" w:cstheme="minorHAnsi"/>
                <w:sz w:val="22"/>
                <w:szCs w:val="22"/>
                <w:lang w:val="mk-MK"/>
              </w:rPr>
              <w:lastRenderedPageBreak/>
              <w:t>Износот и компонентите на основниот капитал, утврден согласно Одлуката за методологијата за утврдување на адекватност на капиталот</w:t>
            </w:r>
          </w:p>
        </w:tc>
        <w:tc>
          <w:tcPr>
            <w:tcW w:w="7836" w:type="dxa"/>
            <w:vAlign w:val="center"/>
          </w:tcPr>
          <w:p w14:paraId="7E22B6FB" w14:textId="3005DE4B" w:rsidR="004B4CD2" w:rsidRPr="004B4CD2" w:rsidRDefault="004B4CD2" w:rsidP="00404624">
            <w:pPr>
              <w:autoSpaceDE w:val="0"/>
              <w:autoSpaceDN w:val="0"/>
              <w:adjustRightInd w:val="0"/>
              <w:rPr>
                <w:rFonts w:asciiTheme="minorHAnsi" w:hAnsiTheme="minorHAnsi" w:cstheme="minorHAnsi"/>
                <w:lang w:val="mk-MK"/>
              </w:rPr>
            </w:pPr>
            <w:r w:rsidRPr="004B4CD2">
              <w:rPr>
                <w:rFonts w:asciiTheme="minorHAnsi" w:hAnsiTheme="minorHAnsi" w:cstheme="minorHAnsi"/>
                <w:sz w:val="22"/>
                <w:szCs w:val="22"/>
                <w:lang w:val="mk-MK"/>
              </w:rPr>
              <w:t xml:space="preserve">Редовниот основен капитал на Банката изнесува </w:t>
            </w:r>
            <w:r w:rsidR="00744653" w:rsidRPr="00836A77">
              <w:rPr>
                <w:rFonts w:asciiTheme="minorHAnsi" w:hAnsiTheme="minorHAnsi" w:cstheme="minorHAnsi"/>
                <w:sz w:val="22"/>
                <w:szCs w:val="22"/>
                <w:lang w:val="mk-MK"/>
              </w:rPr>
              <w:t xml:space="preserve"> </w:t>
            </w:r>
            <w:r w:rsidR="00805447" w:rsidRPr="00DD7409">
              <w:rPr>
                <w:rFonts w:asciiTheme="minorHAnsi" w:hAnsiTheme="minorHAnsi" w:cstheme="minorHAnsi"/>
                <w:b/>
                <w:bCs/>
                <w:sz w:val="22"/>
                <w:szCs w:val="22"/>
                <w:lang w:val="mk-MK"/>
              </w:rPr>
              <w:t>640.964</w:t>
            </w:r>
            <w:r w:rsidR="00C26484" w:rsidRPr="00DD7409">
              <w:rPr>
                <w:rFonts w:asciiTheme="minorHAnsi" w:hAnsiTheme="minorHAnsi" w:cstheme="minorHAnsi"/>
                <w:b/>
                <w:bCs/>
                <w:sz w:val="22"/>
                <w:szCs w:val="22"/>
                <w:lang w:val="mk-MK"/>
              </w:rPr>
              <w:t xml:space="preserve"> </w:t>
            </w:r>
            <w:r w:rsidRPr="00836A77">
              <w:rPr>
                <w:rFonts w:asciiTheme="minorHAnsi" w:hAnsiTheme="minorHAnsi" w:cstheme="minorHAnsi"/>
                <w:b/>
                <w:bCs/>
                <w:sz w:val="22"/>
                <w:szCs w:val="22"/>
                <w:lang w:val="mk-MK"/>
              </w:rPr>
              <w:t>илјади денари</w:t>
            </w:r>
            <w:r w:rsidRPr="004B4CD2">
              <w:rPr>
                <w:rFonts w:asciiTheme="minorHAnsi" w:hAnsiTheme="minorHAnsi" w:cstheme="minorHAnsi"/>
                <w:sz w:val="22"/>
                <w:szCs w:val="22"/>
                <w:lang w:val="mk-MK"/>
              </w:rPr>
              <w:t xml:space="preserve"> и се состои од:</w:t>
            </w:r>
          </w:p>
          <w:p w14:paraId="14D2B312" w14:textId="77777777" w:rsidR="004B4CD2" w:rsidRPr="00836A77" w:rsidRDefault="004B4CD2" w:rsidP="004B4CD2">
            <w:pPr>
              <w:pStyle w:val="ListParagraph"/>
              <w:numPr>
                <w:ilvl w:val="0"/>
                <w:numId w:val="7"/>
              </w:numPr>
              <w:autoSpaceDE w:val="0"/>
              <w:autoSpaceDN w:val="0"/>
              <w:adjustRightInd w:val="0"/>
              <w:rPr>
                <w:rFonts w:asciiTheme="minorHAnsi" w:hAnsiTheme="minorHAnsi" w:cstheme="minorHAnsi"/>
                <w:sz w:val="22"/>
                <w:szCs w:val="22"/>
                <w:lang w:val="mk-MK"/>
              </w:rPr>
            </w:pPr>
            <w:r w:rsidRPr="004B4CD2">
              <w:rPr>
                <w:rFonts w:asciiTheme="minorHAnsi" w:hAnsiTheme="minorHAnsi" w:cstheme="minorHAnsi"/>
                <w:sz w:val="22"/>
                <w:szCs w:val="22"/>
                <w:lang w:val="mk-MK"/>
              </w:rPr>
              <w:t>Капитални инструменти</w:t>
            </w:r>
            <w:r w:rsidRPr="004B4CD2">
              <w:rPr>
                <w:rFonts w:asciiTheme="minorHAnsi" w:hAnsiTheme="minorHAnsi" w:cstheme="minorHAnsi"/>
                <w:b/>
                <w:sz w:val="22"/>
                <w:szCs w:val="22"/>
                <w:lang w:val="mk-MK"/>
              </w:rPr>
              <w:t xml:space="preserve"> </w:t>
            </w:r>
            <w:r w:rsidRPr="004B4CD2">
              <w:rPr>
                <w:rFonts w:asciiTheme="minorHAnsi" w:hAnsiTheme="minorHAnsi" w:cstheme="minorHAnsi"/>
                <w:sz w:val="22"/>
                <w:szCs w:val="22"/>
                <w:lang w:val="mk-MK"/>
              </w:rPr>
              <w:t>во износ од</w:t>
            </w:r>
            <w:r w:rsidRPr="00836A77">
              <w:rPr>
                <w:rFonts w:asciiTheme="minorHAnsi" w:hAnsiTheme="minorHAnsi" w:cstheme="minorHAnsi"/>
                <w:sz w:val="22"/>
                <w:szCs w:val="22"/>
                <w:lang w:val="mk-MK"/>
              </w:rPr>
              <w:t xml:space="preserve">  </w:t>
            </w:r>
            <w:r w:rsidRPr="00DD7409">
              <w:rPr>
                <w:rFonts w:asciiTheme="minorHAnsi" w:hAnsiTheme="minorHAnsi" w:cstheme="minorHAnsi"/>
                <w:b/>
                <w:bCs/>
                <w:sz w:val="22"/>
                <w:szCs w:val="22"/>
                <w:lang w:val="mk-MK"/>
              </w:rPr>
              <w:t xml:space="preserve">372.124 </w:t>
            </w:r>
            <w:r w:rsidRPr="00836A77">
              <w:rPr>
                <w:rFonts w:asciiTheme="minorHAnsi" w:hAnsiTheme="minorHAnsi" w:cstheme="minorHAnsi"/>
                <w:b/>
                <w:bCs/>
                <w:sz w:val="22"/>
                <w:szCs w:val="22"/>
                <w:lang w:val="mk-MK"/>
              </w:rPr>
              <w:t>илјади денари</w:t>
            </w:r>
            <w:r w:rsidRPr="004B4CD2">
              <w:rPr>
                <w:rFonts w:asciiTheme="minorHAnsi" w:hAnsiTheme="minorHAnsi" w:cstheme="minorHAnsi"/>
                <w:sz w:val="22"/>
                <w:szCs w:val="22"/>
                <w:lang w:val="mk-MK"/>
              </w:rPr>
              <w:t>;</w:t>
            </w:r>
          </w:p>
          <w:p w14:paraId="722C84FD" w14:textId="3CF0ED67" w:rsidR="004B4CD2" w:rsidRPr="00836A77" w:rsidRDefault="004B4CD2" w:rsidP="004B4CD2">
            <w:pPr>
              <w:pStyle w:val="ListParagraph"/>
              <w:numPr>
                <w:ilvl w:val="0"/>
                <w:numId w:val="7"/>
              </w:numPr>
              <w:autoSpaceDE w:val="0"/>
              <w:autoSpaceDN w:val="0"/>
              <w:adjustRightInd w:val="0"/>
              <w:rPr>
                <w:rFonts w:asciiTheme="minorHAnsi" w:hAnsiTheme="minorHAnsi" w:cstheme="minorHAnsi"/>
                <w:sz w:val="22"/>
                <w:szCs w:val="22"/>
                <w:lang w:val="mk-MK"/>
              </w:rPr>
            </w:pPr>
            <w:r w:rsidRPr="004B4CD2">
              <w:rPr>
                <w:rFonts w:asciiTheme="minorHAnsi" w:hAnsiTheme="minorHAnsi" w:cstheme="minorHAnsi"/>
                <w:sz w:val="22"/>
                <w:szCs w:val="22"/>
                <w:lang w:val="mk-MK"/>
              </w:rPr>
              <w:t xml:space="preserve">Општ резервен фонд во износ од </w:t>
            </w:r>
            <w:r w:rsidR="00805447" w:rsidRPr="00DD7409">
              <w:rPr>
                <w:rFonts w:asciiTheme="minorHAnsi" w:hAnsiTheme="minorHAnsi" w:cstheme="minorHAnsi"/>
                <w:b/>
                <w:bCs/>
                <w:sz w:val="22"/>
                <w:szCs w:val="22"/>
                <w:lang w:val="mk-MK"/>
              </w:rPr>
              <w:t>133.175</w:t>
            </w:r>
            <w:r w:rsidR="00836A77">
              <w:rPr>
                <w:rFonts w:asciiTheme="minorHAnsi" w:hAnsiTheme="minorHAnsi" w:cstheme="minorHAnsi"/>
                <w:sz w:val="22"/>
                <w:szCs w:val="22"/>
                <w:lang w:val="mk-MK"/>
              </w:rPr>
              <w:t xml:space="preserve"> </w:t>
            </w:r>
            <w:r w:rsidRPr="00836A77">
              <w:rPr>
                <w:rFonts w:asciiTheme="minorHAnsi" w:hAnsiTheme="minorHAnsi" w:cstheme="minorHAnsi"/>
                <w:b/>
                <w:bCs/>
                <w:sz w:val="22"/>
                <w:szCs w:val="22"/>
                <w:lang w:val="mk-MK"/>
              </w:rPr>
              <w:t>илјади денари</w:t>
            </w:r>
          </w:p>
          <w:p w14:paraId="30F6DABE" w14:textId="593EB2A3" w:rsidR="004B4CD2" w:rsidRPr="004B4CD2" w:rsidRDefault="004B4CD2" w:rsidP="005E1355">
            <w:pPr>
              <w:pStyle w:val="ListParagraph"/>
              <w:numPr>
                <w:ilvl w:val="0"/>
                <w:numId w:val="7"/>
              </w:numPr>
              <w:autoSpaceDE w:val="0"/>
              <w:autoSpaceDN w:val="0"/>
              <w:adjustRightInd w:val="0"/>
              <w:rPr>
                <w:rFonts w:asciiTheme="minorHAnsi" w:hAnsiTheme="minorHAnsi" w:cstheme="minorHAnsi"/>
                <w:lang w:val="ru-RU"/>
              </w:rPr>
            </w:pPr>
            <w:r w:rsidRPr="004B4CD2">
              <w:rPr>
                <w:rFonts w:asciiTheme="minorHAnsi" w:hAnsiTheme="minorHAnsi" w:cstheme="minorHAnsi"/>
                <w:sz w:val="22"/>
                <w:szCs w:val="22"/>
                <w:lang w:val="mk-MK"/>
              </w:rPr>
              <w:t>Задржана нераспоредена добивка во износ од</w:t>
            </w:r>
            <w:r w:rsidR="00805447" w:rsidRPr="00836A77">
              <w:rPr>
                <w:rFonts w:asciiTheme="minorHAnsi" w:hAnsiTheme="minorHAnsi" w:cstheme="minorHAnsi"/>
                <w:sz w:val="22"/>
                <w:szCs w:val="22"/>
                <w:lang w:val="mk-MK"/>
              </w:rPr>
              <w:t xml:space="preserve"> </w:t>
            </w:r>
            <w:r w:rsidR="00805447" w:rsidRPr="00DD7409">
              <w:rPr>
                <w:rFonts w:asciiTheme="minorHAnsi" w:hAnsiTheme="minorHAnsi" w:cstheme="minorHAnsi"/>
                <w:b/>
                <w:bCs/>
                <w:sz w:val="22"/>
                <w:szCs w:val="22"/>
                <w:lang w:val="mk-MK"/>
              </w:rPr>
              <w:t>135.66</w:t>
            </w:r>
            <w:r w:rsidR="00474B3C" w:rsidRPr="00DD7409">
              <w:rPr>
                <w:rFonts w:asciiTheme="minorHAnsi" w:hAnsiTheme="minorHAnsi" w:cstheme="minorHAnsi"/>
                <w:b/>
                <w:bCs/>
                <w:sz w:val="22"/>
                <w:szCs w:val="22"/>
                <w:lang w:val="mk-MK"/>
              </w:rPr>
              <w:t>5</w:t>
            </w:r>
            <w:r w:rsidR="005E1355" w:rsidRPr="00DD7409">
              <w:rPr>
                <w:rFonts w:asciiTheme="minorHAnsi" w:hAnsiTheme="minorHAnsi" w:cstheme="minorHAnsi"/>
                <w:b/>
                <w:bCs/>
                <w:sz w:val="22"/>
                <w:szCs w:val="22"/>
                <w:lang w:val="mk-MK"/>
              </w:rPr>
              <w:t xml:space="preserve"> </w:t>
            </w:r>
            <w:r w:rsidRPr="00836A77">
              <w:rPr>
                <w:rFonts w:asciiTheme="minorHAnsi" w:hAnsiTheme="minorHAnsi" w:cstheme="minorHAnsi"/>
                <w:b/>
                <w:bCs/>
                <w:sz w:val="22"/>
                <w:szCs w:val="22"/>
                <w:lang w:val="mk-MK"/>
              </w:rPr>
              <w:t>илјади денари</w:t>
            </w:r>
          </w:p>
        </w:tc>
      </w:tr>
      <w:tr w:rsidR="004B4CD2" w:rsidRPr="004B4CD2" w14:paraId="07EFC3C3" w14:textId="77777777" w:rsidTr="00404624">
        <w:tc>
          <w:tcPr>
            <w:tcW w:w="1911" w:type="dxa"/>
            <w:vAlign w:val="center"/>
          </w:tcPr>
          <w:p w14:paraId="6FEC7D4D" w14:textId="77777777" w:rsidR="004B4CD2" w:rsidRPr="004B4CD2" w:rsidRDefault="004B4CD2" w:rsidP="00404624">
            <w:pPr>
              <w:rPr>
                <w:rFonts w:asciiTheme="minorHAnsi" w:hAnsiTheme="minorHAnsi" w:cstheme="minorHAnsi"/>
                <w:lang w:val="ru-RU"/>
              </w:rPr>
            </w:pPr>
            <w:r w:rsidRPr="004B4CD2">
              <w:rPr>
                <w:rFonts w:asciiTheme="minorHAnsi" w:hAnsiTheme="minorHAnsi" w:cstheme="minorHAnsi"/>
                <w:sz w:val="22"/>
                <w:szCs w:val="22"/>
              </w:rPr>
              <w:t>Износ и компоненти на дополнителниот капитал, како и нивниот износ кој, согласно Методологијата за утврдување на адекватноста на капиталот, може да биде дел од сопствените средства на Банката</w:t>
            </w:r>
          </w:p>
        </w:tc>
        <w:tc>
          <w:tcPr>
            <w:tcW w:w="7836" w:type="dxa"/>
            <w:vAlign w:val="center"/>
          </w:tcPr>
          <w:p w14:paraId="5E8FF4D2" w14:textId="77777777" w:rsidR="004B4CD2" w:rsidRPr="004B4CD2" w:rsidRDefault="004B4CD2" w:rsidP="00404624">
            <w:pPr>
              <w:jc w:val="both"/>
              <w:rPr>
                <w:rFonts w:asciiTheme="minorHAnsi" w:hAnsiTheme="minorHAnsi" w:cstheme="minorHAnsi"/>
                <w:lang w:val="mk-MK"/>
              </w:rPr>
            </w:pPr>
            <w:r w:rsidRPr="004B4CD2">
              <w:rPr>
                <w:rFonts w:asciiTheme="minorHAnsi" w:hAnsiTheme="minorHAnsi" w:cstheme="minorHAnsi"/>
                <w:sz w:val="22"/>
                <w:szCs w:val="22"/>
                <w:lang w:val="mk-MK"/>
              </w:rPr>
              <w:t xml:space="preserve">Дополнителниот капитал на Банката изнесува </w:t>
            </w:r>
            <w:r w:rsidR="00C13CB7">
              <w:rPr>
                <w:rFonts w:asciiTheme="minorHAnsi" w:hAnsiTheme="minorHAnsi" w:cstheme="minorHAnsi"/>
                <w:b/>
                <w:bCs/>
                <w:sz w:val="22"/>
                <w:szCs w:val="22"/>
                <w:lang w:val="en-US"/>
              </w:rPr>
              <w:t>308.47</w:t>
            </w:r>
            <w:r w:rsidR="005E1355">
              <w:rPr>
                <w:rFonts w:asciiTheme="minorHAnsi" w:hAnsiTheme="minorHAnsi" w:cstheme="minorHAnsi"/>
                <w:b/>
                <w:bCs/>
                <w:sz w:val="22"/>
                <w:szCs w:val="22"/>
                <w:lang w:val="en-US"/>
              </w:rPr>
              <w:t>5</w:t>
            </w:r>
            <w:r w:rsidR="00C13CB7">
              <w:rPr>
                <w:rFonts w:asciiTheme="minorHAnsi" w:hAnsiTheme="minorHAnsi" w:cstheme="minorHAnsi"/>
                <w:b/>
                <w:bCs/>
                <w:sz w:val="22"/>
                <w:szCs w:val="22"/>
                <w:lang w:val="en-US"/>
              </w:rPr>
              <w:t xml:space="preserve"> </w:t>
            </w:r>
            <w:r w:rsidRPr="004B4CD2">
              <w:rPr>
                <w:rFonts w:asciiTheme="minorHAnsi" w:hAnsiTheme="minorHAnsi" w:cstheme="minorHAnsi"/>
                <w:b/>
                <w:sz w:val="22"/>
                <w:szCs w:val="22"/>
                <w:lang w:val="mk-MK"/>
              </w:rPr>
              <w:t>илјади денари</w:t>
            </w:r>
            <w:r w:rsidRPr="004B4CD2">
              <w:rPr>
                <w:rFonts w:asciiTheme="minorHAnsi" w:hAnsiTheme="minorHAnsi" w:cstheme="minorHAnsi"/>
                <w:sz w:val="22"/>
                <w:szCs w:val="22"/>
                <w:lang w:val="mk-MK"/>
              </w:rPr>
              <w:t xml:space="preserve"> и се состои од хибридни инструменти во износ од </w:t>
            </w:r>
            <w:r w:rsidR="00C13CB7">
              <w:rPr>
                <w:rFonts w:asciiTheme="minorHAnsi" w:hAnsiTheme="minorHAnsi" w:cstheme="minorHAnsi"/>
                <w:b/>
                <w:bCs/>
                <w:sz w:val="22"/>
                <w:szCs w:val="22"/>
                <w:lang w:val="en-US"/>
              </w:rPr>
              <w:t>308.47</w:t>
            </w:r>
            <w:r w:rsidR="005E1355">
              <w:rPr>
                <w:rFonts w:asciiTheme="minorHAnsi" w:hAnsiTheme="minorHAnsi" w:cstheme="minorHAnsi"/>
                <w:b/>
                <w:bCs/>
                <w:sz w:val="22"/>
                <w:szCs w:val="22"/>
                <w:lang w:val="en-US"/>
              </w:rPr>
              <w:t xml:space="preserve">5 </w:t>
            </w:r>
            <w:r w:rsidRPr="004B4CD2">
              <w:rPr>
                <w:rFonts w:asciiTheme="minorHAnsi" w:hAnsiTheme="minorHAnsi" w:cstheme="minorHAnsi"/>
                <w:b/>
                <w:sz w:val="22"/>
                <w:szCs w:val="22"/>
                <w:lang w:val="mk-MK"/>
              </w:rPr>
              <w:t>илјади денари.</w:t>
            </w:r>
          </w:p>
          <w:p w14:paraId="53B01440" w14:textId="77777777" w:rsidR="004B4CD2" w:rsidRPr="004B4CD2" w:rsidRDefault="004B4CD2" w:rsidP="00404624">
            <w:pPr>
              <w:jc w:val="both"/>
              <w:rPr>
                <w:rFonts w:asciiTheme="minorHAnsi" w:hAnsiTheme="minorHAnsi" w:cstheme="minorHAnsi"/>
                <w:lang w:val="mk-MK"/>
              </w:rPr>
            </w:pPr>
            <w:r w:rsidRPr="004B4CD2">
              <w:rPr>
                <w:rFonts w:asciiTheme="minorHAnsi" w:hAnsiTheme="minorHAnsi" w:cstheme="minorHAnsi"/>
                <w:sz w:val="22"/>
                <w:szCs w:val="22"/>
                <w:lang w:val="mk-MK"/>
              </w:rPr>
              <w:t xml:space="preserve">Вкупните обврски на Банката по основ на хибридни инструменти изнесуваат </w:t>
            </w:r>
            <w:r w:rsidR="00C13CB7">
              <w:rPr>
                <w:rFonts w:asciiTheme="minorHAnsi" w:hAnsiTheme="minorHAnsi" w:cstheme="minorHAnsi"/>
                <w:b/>
                <w:bCs/>
                <w:sz w:val="22"/>
                <w:szCs w:val="22"/>
                <w:lang w:val="en-US"/>
              </w:rPr>
              <w:t>308.47</w:t>
            </w:r>
            <w:r w:rsidR="005E1355">
              <w:rPr>
                <w:rFonts w:asciiTheme="minorHAnsi" w:hAnsiTheme="minorHAnsi" w:cstheme="minorHAnsi"/>
                <w:b/>
                <w:bCs/>
                <w:sz w:val="22"/>
                <w:szCs w:val="22"/>
                <w:lang w:val="en-US"/>
              </w:rPr>
              <w:t>5</w:t>
            </w:r>
            <w:r w:rsidR="00C13CB7">
              <w:rPr>
                <w:rFonts w:asciiTheme="minorHAnsi" w:hAnsiTheme="minorHAnsi" w:cstheme="minorHAnsi"/>
                <w:b/>
                <w:bCs/>
                <w:sz w:val="22"/>
                <w:szCs w:val="22"/>
                <w:lang w:val="en-US"/>
              </w:rPr>
              <w:t xml:space="preserve"> </w:t>
            </w:r>
            <w:r w:rsidRPr="004B4CD2">
              <w:rPr>
                <w:rFonts w:asciiTheme="minorHAnsi" w:hAnsiTheme="minorHAnsi" w:cstheme="minorHAnsi"/>
                <w:b/>
                <w:sz w:val="22"/>
                <w:szCs w:val="22"/>
                <w:lang w:val="mk-MK"/>
              </w:rPr>
              <w:t>илјади денари</w:t>
            </w:r>
            <w:r w:rsidRPr="004B4CD2">
              <w:rPr>
                <w:rFonts w:asciiTheme="minorHAnsi" w:hAnsiTheme="minorHAnsi" w:cstheme="minorHAnsi"/>
                <w:sz w:val="22"/>
                <w:szCs w:val="22"/>
                <w:lang w:val="mk-MK"/>
              </w:rPr>
              <w:t>.</w:t>
            </w:r>
          </w:p>
          <w:p w14:paraId="2505ADAC" w14:textId="77777777" w:rsidR="004B4CD2" w:rsidRPr="004B4CD2" w:rsidRDefault="004B4CD2" w:rsidP="00404624">
            <w:pPr>
              <w:rPr>
                <w:rFonts w:asciiTheme="minorHAnsi" w:hAnsiTheme="minorHAnsi" w:cstheme="minorHAnsi"/>
                <w:lang w:val="mk-MK"/>
              </w:rPr>
            </w:pPr>
          </w:p>
          <w:p w14:paraId="65E471D4" w14:textId="77777777" w:rsidR="004B4CD2" w:rsidRPr="004B4CD2" w:rsidRDefault="004B4CD2" w:rsidP="00404624">
            <w:pPr>
              <w:rPr>
                <w:rFonts w:asciiTheme="minorHAnsi" w:hAnsiTheme="minorHAnsi" w:cstheme="minorHAnsi"/>
                <w:lang w:val="ru-RU"/>
              </w:rPr>
            </w:pPr>
            <w:r w:rsidRPr="004B4CD2">
              <w:rPr>
                <w:rFonts w:asciiTheme="minorHAnsi" w:hAnsiTheme="minorHAnsi" w:cstheme="minorHAnsi"/>
                <w:sz w:val="22"/>
                <w:szCs w:val="22"/>
                <w:lang w:val="mk-MK"/>
              </w:rPr>
              <w:t>Банката не располага со додатен основен капитал.</w:t>
            </w:r>
          </w:p>
        </w:tc>
      </w:tr>
      <w:tr w:rsidR="004B4CD2" w:rsidRPr="004B4CD2" w14:paraId="41B79F8F" w14:textId="77777777" w:rsidTr="00404624">
        <w:tc>
          <w:tcPr>
            <w:tcW w:w="1911" w:type="dxa"/>
            <w:vAlign w:val="center"/>
          </w:tcPr>
          <w:p w14:paraId="1435B8FA" w14:textId="77777777" w:rsidR="004B4CD2" w:rsidRPr="004B4CD2" w:rsidRDefault="004B4CD2" w:rsidP="00404624">
            <w:pPr>
              <w:rPr>
                <w:rFonts w:asciiTheme="minorHAnsi" w:hAnsiTheme="minorHAnsi" w:cstheme="minorHAnsi"/>
                <w:lang w:val="ru-RU"/>
              </w:rPr>
            </w:pPr>
            <w:r w:rsidRPr="004B4CD2">
              <w:rPr>
                <w:rFonts w:asciiTheme="minorHAnsi" w:hAnsiTheme="minorHAnsi" w:cstheme="minorHAnsi"/>
                <w:sz w:val="22"/>
                <w:szCs w:val="22"/>
                <w:lang w:val="ru-RU"/>
              </w:rPr>
              <w:t xml:space="preserve">Видот на одбитните ставки од основниот капитал и </w:t>
            </w:r>
            <w:r w:rsidRPr="004B4CD2">
              <w:rPr>
                <w:rFonts w:asciiTheme="minorHAnsi" w:hAnsiTheme="minorHAnsi" w:cstheme="minorHAnsi"/>
                <w:sz w:val="22"/>
                <w:szCs w:val="22"/>
                <w:lang w:val="ru-RU"/>
              </w:rPr>
              <w:lastRenderedPageBreak/>
              <w:t>дополнителниот капитал и нивниот износ</w:t>
            </w:r>
          </w:p>
        </w:tc>
        <w:tc>
          <w:tcPr>
            <w:tcW w:w="7836" w:type="dxa"/>
            <w:vAlign w:val="center"/>
          </w:tcPr>
          <w:p w14:paraId="6C061DF1" w14:textId="77777777" w:rsidR="004B4CD2" w:rsidRPr="004B4CD2" w:rsidRDefault="007721DB" w:rsidP="007721DB">
            <w:pPr>
              <w:jc w:val="center"/>
              <w:rPr>
                <w:rFonts w:asciiTheme="minorHAnsi" w:hAnsiTheme="minorHAnsi" w:cstheme="minorHAnsi"/>
                <w:lang w:val="ru-RU"/>
              </w:rPr>
            </w:pPr>
            <w:r w:rsidRPr="004B4CD2">
              <w:rPr>
                <w:rFonts w:asciiTheme="minorHAnsi" w:hAnsiTheme="minorHAnsi" w:cstheme="minorHAnsi"/>
                <w:sz w:val="22"/>
                <w:szCs w:val="22"/>
                <w:lang w:val="ru-RU"/>
              </w:rPr>
              <w:lastRenderedPageBreak/>
              <w:t>НЕМА</w:t>
            </w:r>
          </w:p>
        </w:tc>
      </w:tr>
      <w:tr w:rsidR="004B4CD2" w:rsidRPr="004B4CD2" w14:paraId="02F6A60C" w14:textId="77777777" w:rsidTr="00404624">
        <w:tc>
          <w:tcPr>
            <w:tcW w:w="1911" w:type="dxa"/>
            <w:vAlign w:val="center"/>
          </w:tcPr>
          <w:p w14:paraId="3C711847" w14:textId="34F8E8BA" w:rsidR="004B4CD2" w:rsidRPr="00893E6E" w:rsidRDefault="004B4CD2" w:rsidP="004B4CD2">
            <w:pPr>
              <w:rPr>
                <w:rFonts w:asciiTheme="minorHAnsi" w:hAnsiTheme="minorHAnsi" w:cstheme="minorHAnsi"/>
                <w:lang w:val="en-US"/>
              </w:rPr>
            </w:pPr>
            <w:r w:rsidRPr="004B4CD2">
              <w:rPr>
                <w:rFonts w:asciiTheme="minorHAnsi" w:hAnsiTheme="minorHAnsi" w:cstheme="minorHAnsi"/>
                <w:sz w:val="22"/>
                <w:szCs w:val="22"/>
                <w:lang w:val="mk-MK"/>
              </w:rPr>
              <w:t xml:space="preserve">Вкупен износ на сопствени средства и висина на адекватност на капиталот со состојба на </w:t>
            </w:r>
            <w:r w:rsidR="00893E6E">
              <w:rPr>
                <w:rFonts w:asciiTheme="minorHAnsi" w:hAnsiTheme="minorHAnsi" w:cstheme="minorHAnsi"/>
                <w:sz w:val="22"/>
                <w:szCs w:val="22"/>
                <w:lang w:val="ru-RU"/>
              </w:rPr>
              <w:t>3</w:t>
            </w:r>
            <w:r w:rsidR="00893E6E">
              <w:rPr>
                <w:rFonts w:asciiTheme="minorHAnsi" w:hAnsiTheme="minorHAnsi" w:cstheme="minorHAnsi"/>
                <w:sz w:val="22"/>
                <w:szCs w:val="22"/>
                <w:lang w:val="en-US"/>
              </w:rPr>
              <w:t>0</w:t>
            </w:r>
            <w:r w:rsidR="00893E6E">
              <w:rPr>
                <w:rFonts w:asciiTheme="minorHAnsi" w:hAnsiTheme="minorHAnsi" w:cstheme="minorHAnsi"/>
                <w:sz w:val="22"/>
                <w:szCs w:val="22"/>
                <w:lang w:val="ru-RU"/>
              </w:rPr>
              <w:t>.</w:t>
            </w:r>
            <w:r w:rsidR="00893E6E">
              <w:rPr>
                <w:rFonts w:asciiTheme="minorHAnsi" w:hAnsiTheme="minorHAnsi" w:cstheme="minorHAnsi"/>
                <w:sz w:val="22"/>
                <w:szCs w:val="22"/>
                <w:lang w:val="en-US"/>
              </w:rPr>
              <w:t>06</w:t>
            </w:r>
            <w:r w:rsidRPr="004B4CD2">
              <w:rPr>
                <w:rFonts w:asciiTheme="minorHAnsi" w:hAnsiTheme="minorHAnsi" w:cstheme="minorHAnsi"/>
                <w:sz w:val="22"/>
                <w:szCs w:val="22"/>
                <w:lang w:val="ru-RU"/>
              </w:rPr>
              <w:t>.</w:t>
            </w:r>
            <w:r>
              <w:rPr>
                <w:rFonts w:asciiTheme="minorHAnsi" w:hAnsiTheme="minorHAnsi" w:cstheme="minorHAnsi"/>
                <w:sz w:val="22"/>
                <w:szCs w:val="22"/>
                <w:lang w:val="ru-RU"/>
              </w:rPr>
              <w:t>202</w:t>
            </w:r>
            <w:r w:rsidR="000D5FCF">
              <w:rPr>
                <w:rFonts w:asciiTheme="minorHAnsi" w:hAnsiTheme="minorHAnsi" w:cstheme="minorHAnsi"/>
                <w:sz w:val="22"/>
                <w:szCs w:val="22"/>
                <w:lang w:val="mk-MK"/>
              </w:rPr>
              <w:t>2</w:t>
            </w:r>
          </w:p>
        </w:tc>
        <w:tc>
          <w:tcPr>
            <w:tcW w:w="7836" w:type="dxa"/>
            <w:vAlign w:val="center"/>
          </w:tcPr>
          <w:p w14:paraId="59BD21C6" w14:textId="6B412651" w:rsidR="004B4CD2" w:rsidRPr="004B4CD2" w:rsidRDefault="004B4CD2" w:rsidP="00404624">
            <w:pPr>
              <w:rPr>
                <w:rFonts w:asciiTheme="minorHAnsi" w:hAnsiTheme="minorHAnsi" w:cstheme="minorHAnsi"/>
                <w:lang w:val="mk-MK"/>
              </w:rPr>
            </w:pPr>
            <w:r w:rsidRPr="004B4CD2">
              <w:rPr>
                <w:rFonts w:asciiTheme="minorHAnsi" w:hAnsiTheme="minorHAnsi" w:cstheme="minorHAnsi"/>
                <w:sz w:val="22"/>
                <w:szCs w:val="22"/>
                <w:lang w:val="mk-MK"/>
              </w:rPr>
              <w:t>Сопствените средства на 3</w:t>
            </w:r>
            <w:r w:rsidR="00237CDC">
              <w:rPr>
                <w:rFonts w:asciiTheme="minorHAnsi" w:hAnsiTheme="minorHAnsi" w:cstheme="minorHAnsi"/>
                <w:sz w:val="22"/>
                <w:szCs w:val="22"/>
                <w:lang w:val="en-US"/>
              </w:rPr>
              <w:t>0</w:t>
            </w:r>
            <w:r w:rsidRPr="004B4CD2">
              <w:rPr>
                <w:rFonts w:asciiTheme="minorHAnsi" w:hAnsiTheme="minorHAnsi" w:cstheme="minorHAnsi"/>
                <w:sz w:val="22"/>
                <w:szCs w:val="22"/>
                <w:lang w:val="mk-MK"/>
              </w:rPr>
              <w:t>.</w:t>
            </w:r>
            <w:r w:rsidR="00237CDC">
              <w:rPr>
                <w:rFonts w:asciiTheme="minorHAnsi" w:hAnsiTheme="minorHAnsi" w:cstheme="minorHAnsi"/>
                <w:sz w:val="22"/>
                <w:szCs w:val="22"/>
                <w:lang w:val="en-US"/>
              </w:rPr>
              <w:t>06</w:t>
            </w:r>
            <w:r w:rsidRPr="004B4CD2">
              <w:rPr>
                <w:rFonts w:asciiTheme="minorHAnsi" w:hAnsiTheme="minorHAnsi" w:cstheme="minorHAnsi"/>
                <w:sz w:val="22"/>
                <w:szCs w:val="22"/>
                <w:lang w:val="mk-MK"/>
              </w:rPr>
              <w:t>.</w:t>
            </w:r>
            <w:r w:rsidRPr="00836A77">
              <w:rPr>
                <w:rFonts w:asciiTheme="minorHAnsi" w:hAnsiTheme="minorHAnsi" w:cstheme="minorHAnsi"/>
                <w:sz w:val="22"/>
                <w:szCs w:val="22"/>
                <w:lang w:val="en-US"/>
              </w:rPr>
              <w:t>202</w:t>
            </w:r>
            <w:r w:rsidR="009A7E69" w:rsidRPr="00836A77">
              <w:rPr>
                <w:rFonts w:asciiTheme="minorHAnsi" w:hAnsiTheme="minorHAnsi" w:cstheme="minorHAnsi"/>
                <w:sz w:val="22"/>
                <w:szCs w:val="22"/>
                <w:lang w:val="en-US"/>
              </w:rPr>
              <w:t>2</w:t>
            </w:r>
            <w:r w:rsidRPr="00836A77">
              <w:rPr>
                <w:rFonts w:asciiTheme="minorHAnsi" w:hAnsiTheme="minorHAnsi" w:cstheme="minorHAnsi"/>
                <w:sz w:val="22"/>
                <w:szCs w:val="22"/>
                <w:lang w:val="en-US"/>
              </w:rPr>
              <w:t xml:space="preserve"> година изнесуваат</w:t>
            </w:r>
            <w:r w:rsidR="006441C2">
              <w:rPr>
                <w:rFonts w:asciiTheme="minorHAnsi" w:hAnsiTheme="minorHAnsi" w:cstheme="minorHAnsi"/>
                <w:b/>
                <w:bCs/>
                <w:sz w:val="22"/>
                <w:szCs w:val="22"/>
                <w:lang w:val="en-US"/>
              </w:rPr>
              <w:t xml:space="preserve"> </w:t>
            </w:r>
            <w:r w:rsidR="009A7E69" w:rsidRPr="00836A77">
              <w:rPr>
                <w:rFonts w:asciiTheme="minorHAnsi" w:hAnsiTheme="minorHAnsi" w:cstheme="minorHAnsi"/>
                <w:b/>
                <w:bCs/>
                <w:sz w:val="22"/>
                <w:szCs w:val="22"/>
                <w:lang w:val="en-US"/>
              </w:rPr>
              <w:t>949.439</w:t>
            </w:r>
            <w:r w:rsidR="009A7E69">
              <w:t xml:space="preserve"> </w:t>
            </w:r>
            <w:r w:rsidRPr="004B4CD2">
              <w:rPr>
                <w:rFonts w:asciiTheme="minorHAnsi" w:hAnsiTheme="minorHAnsi" w:cstheme="minorHAnsi"/>
                <w:b/>
                <w:sz w:val="22"/>
                <w:szCs w:val="22"/>
                <w:lang w:val="mk-MK"/>
              </w:rPr>
              <w:t>илјади денари</w:t>
            </w:r>
            <w:r w:rsidRPr="004B4CD2">
              <w:rPr>
                <w:rFonts w:asciiTheme="minorHAnsi" w:hAnsiTheme="minorHAnsi" w:cstheme="minorHAnsi"/>
                <w:sz w:val="22"/>
                <w:szCs w:val="22"/>
                <w:lang w:val="mk-MK"/>
              </w:rPr>
              <w:t>.</w:t>
            </w:r>
          </w:p>
          <w:p w14:paraId="47C59BCB" w14:textId="6844DDAB" w:rsidR="004B4CD2" w:rsidRPr="006441C2" w:rsidRDefault="004B4CD2" w:rsidP="00237CDC">
            <w:pPr>
              <w:rPr>
                <w:rFonts w:asciiTheme="minorHAnsi" w:hAnsiTheme="minorHAnsi" w:cstheme="minorHAnsi"/>
                <w:lang w:val="en-US"/>
              </w:rPr>
            </w:pPr>
            <w:r w:rsidRPr="004B4CD2">
              <w:rPr>
                <w:rFonts w:asciiTheme="minorHAnsi" w:hAnsiTheme="minorHAnsi" w:cstheme="minorHAnsi"/>
                <w:sz w:val="22"/>
                <w:szCs w:val="22"/>
                <w:lang w:val="mk-MK"/>
              </w:rPr>
              <w:br/>
            </w:r>
            <w:r w:rsidRPr="004B4CD2">
              <w:rPr>
                <w:rFonts w:asciiTheme="minorHAnsi" w:hAnsiTheme="minorHAnsi" w:cstheme="minorHAnsi"/>
                <w:b/>
                <w:bCs/>
                <w:sz w:val="22"/>
                <w:szCs w:val="22"/>
                <w:lang w:val="mk-MK"/>
              </w:rPr>
              <w:t xml:space="preserve">Адекватност на капиталот = </w:t>
            </w:r>
            <w:r w:rsidR="009A7E69" w:rsidRPr="00836A77">
              <w:rPr>
                <w:rFonts w:asciiTheme="minorHAnsi" w:hAnsiTheme="minorHAnsi" w:cstheme="minorHAnsi"/>
                <w:b/>
                <w:bCs/>
                <w:sz w:val="22"/>
                <w:szCs w:val="22"/>
                <w:lang w:val="en-US"/>
              </w:rPr>
              <w:t>17,18%</w:t>
            </w:r>
          </w:p>
        </w:tc>
      </w:tr>
      <w:tr w:rsidR="004B4CD2" w:rsidRPr="004B4CD2" w14:paraId="68398D81" w14:textId="77777777" w:rsidTr="00404624">
        <w:tc>
          <w:tcPr>
            <w:tcW w:w="1911" w:type="dxa"/>
            <w:vAlign w:val="center"/>
          </w:tcPr>
          <w:p w14:paraId="4B4CD208" w14:textId="77777777" w:rsidR="004B4CD2" w:rsidRPr="004B4CD2" w:rsidRDefault="004B4CD2" w:rsidP="00404624">
            <w:pPr>
              <w:rPr>
                <w:rFonts w:asciiTheme="minorHAnsi" w:hAnsiTheme="minorHAnsi" w:cstheme="minorHAnsi"/>
                <w:lang w:val="ru-RU"/>
              </w:rPr>
            </w:pPr>
            <w:r w:rsidRPr="004B4CD2">
              <w:rPr>
                <w:rFonts w:asciiTheme="minorHAnsi" w:hAnsiTheme="minorHAnsi" w:cstheme="minorHAnsi"/>
                <w:sz w:val="22"/>
                <w:szCs w:val="22"/>
                <w:lang w:val="ru-RU"/>
              </w:rPr>
              <w:t>Висината на капиталот потребен за покривање на кредитниот ризик, утврден согласно со Методологијата за утврдување на адекватноста на капиталот, прикажан одделно за билансните и вонбилансните ставки</w:t>
            </w:r>
          </w:p>
        </w:tc>
        <w:tc>
          <w:tcPr>
            <w:tcW w:w="7836" w:type="dxa"/>
            <w:vAlign w:val="center"/>
          </w:tcPr>
          <w:p w14:paraId="5D22552C" w14:textId="5D8E2D8D" w:rsidR="004B4CD2" w:rsidRPr="004B4CD2" w:rsidRDefault="004B4CD2" w:rsidP="00404624">
            <w:pPr>
              <w:rPr>
                <w:rFonts w:asciiTheme="minorHAnsi" w:hAnsiTheme="minorHAnsi" w:cstheme="minorHAnsi"/>
                <w:lang w:val="mk-MK"/>
              </w:rPr>
            </w:pPr>
            <w:r w:rsidRPr="004B4CD2">
              <w:rPr>
                <w:rFonts w:asciiTheme="minorHAnsi" w:hAnsiTheme="minorHAnsi" w:cstheme="minorHAnsi"/>
                <w:sz w:val="22"/>
                <w:szCs w:val="22"/>
                <w:lang w:val="mk-MK"/>
              </w:rPr>
              <w:t xml:space="preserve">Вкупен капитал потребен за покривање на кредитниот ризик изнесува </w:t>
            </w:r>
            <w:r w:rsidR="00FC57FA" w:rsidRPr="00836A77">
              <w:rPr>
                <w:rFonts w:asciiTheme="minorHAnsi" w:hAnsiTheme="minorHAnsi" w:cstheme="minorHAnsi"/>
                <w:b/>
                <w:sz w:val="22"/>
                <w:szCs w:val="22"/>
                <w:lang w:val="mk-MK"/>
              </w:rPr>
              <w:t xml:space="preserve">396.218 </w:t>
            </w:r>
            <w:r w:rsidRPr="004B4CD2">
              <w:rPr>
                <w:rFonts w:asciiTheme="minorHAnsi" w:hAnsiTheme="minorHAnsi" w:cstheme="minorHAnsi"/>
                <w:b/>
                <w:sz w:val="22"/>
                <w:szCs w:val="22"/>
                <w:lang w:val="mk-MK"/>
              </w:rPr>
              <w:t>илјади денари</w:t>
            </w:r>
            <w:r w:rsidRPr="004B4CD2">
              <w:rPr>
                <w:rFonts w:asciiTheme="minorHAnsi" w:hAnsiTheme="minorHAnsi" w:cstheme="minorHAnsi"/>
                <w:sz w:val="22"/>
                <w:szCs w:val="22"/>
                <w:lang w:val="mk-MK"/>
              </w:rPr>
              <w:t>.</w:t>
            </w:r>
            <w:r w:rsidRPr="004B4CD2">
              <w:rPr>
                <w:rFonts w:asciiTheme="minorHAnsi" w:hAnsiTheme="minorHAnsi" w:cstheme="minorHAnsi"/>
                <w:sz w:val="22"/>
                <w:szCs w:val="22"/>
                <w:lang w:val="mk-MK"/>
              </w:rPr>
              <w:br/>
            </w:r>
          </w:p>
          <w:p w14:paraId="092A68C8" w14:textId="65C08773" w:rsidR="004B4CD2" w:rsidRPr="004B4CD2" w:rsidRDefault="004B4CD2" w:rsidP="00404624">
            <w:pPr>
              <w:jc w:val="both"/>
              <w:rPr>
                <w:rFonts w:asciiTheme="minorHAnsi" w:hAnsiTheme="minorHAnsi" w:cstheme="minorHAnsi"/>
                <w:lang w:val="mk-MK"/>
              </w:rPr>
            </w:pPr>
            <w:r w:rsidRPr="004B4CD2">
              <w:rPr>
                <w:rFonts w:asciiTheme="minorHAnsi" w:hAnsiTheme="minorHAnsi" w:cstheme="minorHAnsi"/>
                <w:sz w:val="22"/>
                <w:szCs w:val="22"/>
                <w:lang w:val="mk-MK"/>
              </w:rPr>
              <w:t xml:space="preserve">Капитал потребен за покривање на кредитниот ризик за билансните ставки </w:t>
            </w:r>
            <w:r w:rsidR="00BE516D">
              <w:t xml:space="preserve"> </w:t>
            </w:r>
            <w:r w:rsidR="00BE516D" w:rsidRPr="00836A77">
              <w:rPr>
                <w:rFonts w:asciiTheme="minorHAnsi" w:hAnsiTheme="minorHAnsi" w:cstheme="minorHAnsi"/>
                <w:b/>
                <w:sz w:val="22"/>
                <w:szCs w:val="22"/>
                <w:lang w:val="mk-MK"/>
              </w:rPr>
              <w:t xml:space="preserve">388.479 </w:t>
            </w:r>
            <w:r w:rsidRPr="004B4CD2">
              <w:rPr>
                <w:rFonts w:asciiTheme="minorHAnsi" w:hAnsiTheme="minorHAnsi" w:cstheme="minorHAnsi"/>
                <w:b/>
                <w:sz w:val="22"/>
                <w:szCs w:val="22"/>
                <w:lang w:val="mk-MK"/>
              </w:rPr>
              <w:t>илјади денари</w:t>
            </w:r>
            <w:r w:rsidRPr="004B4CD2">
              <w:rPr>
                <w:rFonts w:asciiTheme="minorHAnsi" w:hAnsiTheme="minorHAnsi" w:cstheme="minorHAnsi"/>
                <w:sz w:val="22"/>
                <w:szCs w:val="22"/>
                <w:lang w:val="mk-MK"/>
              </w:rPr>
              <w:t>.</w:t>
            </w:r>
          </w:p>
          <w:p w14:paraId="3B02746F" w14:textId="279D455D" w:rsidR="004B4CD2" w:rsidRPr="004B4CD2" w:rsidRDefault="004B4CD2" w:rsidP="004800E8">
            <w:pPr>
              <w:jc w:val="both"/>
              <w:rPr>
                <w:rFonts w:asciiTheme="minorHAnsi" w:hAnsiTheme="minorHAnsi" w:cstheme="minorHAnsi"/>
                <w:lang w:val="ru-RU"/>
              </w:rPr>
            </w:pPr>
            <w:r w:rsidRPr="004B4CD2">
              <w:rPr>
                <w:rFonts w:asciiTheme="minorHAnsi" w:hAnsiTheme="minorHAnsi" w:cstheme="minorHAnsi"/>
                <w:sz w:val="22"/>
                <w:szCs w:val="22"/>
                <w:lang w:val="mk-MK"/>
              </w:rPr>
              <w:br/>
              <w:t xml:space="preserve">Капитал потребен за покривање на кредитниот ризик за вонбилансните ставки </w:t>
            </w:r>
            <w:r w:rsidR="00BE516D" w:rsidRPr="00DD7409">
              <w:rPr>
                <w:rFonts w:asciiTheme="minorHAnsi" w:hAnsiTheme="minorHAnsi" w:cstheme="minorHAnsi"/>
                <w:b/>
                <w:sz w:val="22"/>
                <w:szCs w:val="22"/>
                <w:lang w:val="mk-MK"/>
              </w:rPr>
              <w:t xml:space="preserve">7.739 </w:t>
            </w:r>
            <w:r w:rsidRPr="00DD7409">
              <w:rPr>
                <w:rFonts w:asciiTheme="minorHAnsi" w:hAnsiTheme="minorHAnsi" w:cstheme="minorHAnsi"/>
                <w:b/>
                <w:sz w:val="22"/>
                <w:szCs w:val="22"/>
                <w:lang w:val="mk-MK"/>
              </w:rPr>
              <w:t>илјади</w:t>
            </w:r>
            <w:r w:rsidRPr="004B4CD2">
              <w:rPr>
                <w:rFonts w:asciiTheme="minorHAnsi" w:hAnsiTheme="minorHAnsi" w:cstheme="minorHAnsi"/>
                <w:b/>
                <w:sz w:val="22"/>
                <w:szCs w:val="22"/>
                <w:lang w:val="mk-MK"/>
              </w:rPr>
              <w:t xml:space="preserve"> денари.</w:t>
            </w:r>
          </w:p>
        </w:tc>
      </w:tr>
      <w:tr w:rsidR="004B4CD2" w:rsidRPr="004B4CD2" w14:paraId="29D229F0" w14:textId="77777777" w:rsidTr="00404624">
        <w:tc>
          <w:tcPr>
            <w:tcW w:w="1911" w:type="dxa"/>
            <w:vAlign w:val="center"/>
          </w:tcPr>
          <w:p w14:paraId="02F67D23" w14:textId="77777777" w:rsidR="004B4CD2" w:rsidRPr="004B4CD2" w:rsidRDefault="004B4CD2" w:rsidP="00404624">
            <w:pPr>
              <w:rPr>
                <w:rFonts w:asciiTheme="minorHAnsi" w:hAnsiTheme="minorHAnsi" w:cstheme="minorHAnsi"/>
                <w:lang w:val="ru-RU"/>
              </w:rPr>
            </w:pPr>
            <w:r w:rsidRPr="004B4CD2">
              <w:rPr>
                <w:rFonts w:asciiTheme="minorHAnsi" w:hAnsiTheme="minorHAnsi" w:cstheme="minorHAnsi"/>
                <w:sz w:val="22"/>
                <w:szCs w:val="22"/>
                <w:lang w:val="ru-RU"/>
              </w:rPr>
              <w:t>Висината на капиталот потребен за покривање на валутниот ризик утврден согласно со Методологијата за утврдување на адекватноста на капиталот</w:t>
            </w:r>
          </w:p>
        </w:tc>
        <w:tc>
          <w:tcPr>
            <w:tcW w:w="7836" w:type="dxa"/>
            <w:vAlign w:val="center"/>
          </w:tcPr>
          <w:p w14:paraId="452B5113" w14:textId="78FC465F" w:rsidR="004B4CD2" w:rsidRPr="004B4CD2" w:rsidRDefault="004B4CD2" w:rsidP="00864973">
            <w:pPr>
              <w:rPr>
                <w:rFonts w:asciiTheme="minorHAnsi" w:hAnsiTheme="minorHAnsi" w:cstheme="minorHAnsi"/>
                <w:lang w:val="ru-RU"/>
              </w:rPr>
            </w:pPr>
            <w:r w:rsidRPr="004B4CD2">
              <w:rPr>
                <w:rFonts w:asciiTheme="minorHAnsi" w:hAnsiTheme="minorHAnsi" w:cstheme="minorHAnsi"/>
                <w:bCs/>
                <w:sz w:val="22"/>
                <w:szCs w:val="22"/>
                <w:lang w:val="mk-MK"/>
              </w:rPr>
              <w:t xml:space="preserve">Капиталот потребен за покривање на валутниот ризик </w:t>
            </w:r>
            <w:r w:rsidRPr="00836A77">
              <w:rPr>
                <w:rFonts w:asciiTheme="minorHAnsi" w:hAnsiTheme="minorHAnsi" w:cstheme="minorHAnsi"/>
                <w:bCs/>
                <w:sz w:val="22"/>
                <w:szCs w:val="22"/>
                <w:lang w:val="mk-MK"/>
              </w:rPr>
              <w:t>изнесува</w:t>
            </w:r>
            <w:r w:rsidRPr="00836A77">
              <w:rPr>
                <w:rFonts w:asciiTheme="minorHAnsi" w:hAnsiTheme="minorHAnsi" w:cstheme="minorHAnsi"/>
                <w:b/>
                <w:sz w:val="22"/>
                <w:szCs w:val="22"/>
                <w:lang w:val="mk-MK"/>
              </w:rPr>
              <w:t xml:space="preserve"> </w:t>
            </w:r>
            <w:r w:rsidR="006D5D3C" w:rsidRPr="00836A77">
              <w:rPr>
                <w:rFonts w:asciiTheme="minorHAnsi" w:hAnsiTheme="minorHAnsi" w:cstheme="minorHAnsi"/>
                <w:b/>
                <w:sz w:val="22"/>
                <w:szCs w:val="22"/>
                <w:lang w:val="mk-MK"/>
              </w:rPr>
              <w:t xml:space="preserve">0 </w:t>
            </w:r>
            <w:r w:rsidRPr="004B4CD2">
              <w:rPr>
                <w:rFonts w:asciiTheme="minorHAnsi" w:hAnsiTheme="minorHAnsi" w:cstheme="minorHAnsi"/>
                <w:b/>
                <w:sz w:val="22"/>
                <w:szCs w:val="22"/>
                <w:lang w:val="mk-MK"/>
              </w:rPr>
              <w:t xml:space="preserve"> денари</w:t>
            </w:r>
            <w:r w:rsidRPr="004B4CD2">
              <w:rPr>
                <w:rFonts w:asciiTheme="minorHAnsi" w:hAnsiTheme="minorHAnsi" w:cstheme="minorHAnsi"/>
                <w:sz w:val="22"/>
                <w:szCs w:val="22"/>
                <w:lang w:val="mk-MK"/>
              </w:rPr>
              <w:t>.</w:t>
            </w:r>
          </w:p>
        </w:tc>
      </w:tr>
      <w:tr w:rsidR="004B4CD2" w:rsidRPr="004B4CD2" w14:paraId="60A9E252" w14:textId="77777777" w:rsidTr="00404624">
        <w:tc>
          <w:tcPr>
            <w:tcW w:w="1911" w:type="dxa"/>
            <w:vAlign w:val="center"/>
          </w:tcPr>
          <w:p w14:paraId="7E9F931B" w14:textId="77777777" w:rsidR="004B4CD2" w:rsidRPr="004B4CD2" w:rsidRDefault="004B4CD2" w:rsidP="00404624">
            <w:pPr>
              <w:rPr>
                <w:rFonts w:asciiTheme="minorHAnsi" w:hAnsiTheme="minorHAnsi" w:cstheme="minorHAnsi"/>
                <w:lang w:val="ru-RU"/>
              </w:rPr>
            </w:pPr>
            <w:r w:rsidRPr="004B4CD2">
              <w:rPr>
                <w:rFonts w:asciiTheme="minorHAnsi" w:hAnsiTheme="minorHAnsi" w:cstheme="minorHAnsi"/>
                <w:sz w:val="22"/>
                <w:szCs w:val="22"/>
                <w:lang w:val="ru-RU"/>
              </w:rPr>
              <w:t xml:space="preserve">Висината на капиталот потребен за покривање на пазарниот ризик, утврден согласно со Методологијата за утврдување на адекватноста на капиталот, при што одделно се прикажува износот на капиталот потребен за покривање на </w:t>
            </w:r>
            <w:r w:rsidRPr="004B4CD2">
              <w:rPr>
                <w:rFonts w:asciiTheme="minorHAnsi" w:hAnsiTheme="minorHAnsi" w:cstheme="minorHAnsi"/>
                <w:sz w:val="22"/>
                <w:szCs w:val="22"/>
                <w:lang w:val="ru-RU"/>
              </w:rPr>
              <w:lastRenderedPageBreak/>
              <w:t>генералниот и специфичниот ризик од вложувања во сопственички хартии од вредност и вложувања во должнички инструмен-ти од портфолиото за тргување и износот на капиталот потребен за покрива</w:t>
            </w:r>
            <w:r w:rsidRPr="004B4CD2">
              <w:rPr>
                <w:rFonts w:asciiTheme="minorHAnsi" w:hAnsiTheme="minorHAnsi" w:cstheme="minorHAnsi"/>
                <w:sz w:val="22"/>
                <w:szCs w:val="22"/>
                <w:lang w:val="ru-RU"/>
              </w:rPr>
              <w:softHyphen/>
              <w:t>ње на ризикот од порамнување/ испорака и ризикот од другата договорна страна</w:t>
            </w:r>
          </w:p>
        </w:tc>
        <w:tc>
          <w:tcPr>
            <w:tcW w:w="7836" w:type="dxa"/>
            <w:vAlign w:val="center"/>
          </w:tcPr>
          <w:p w14:paraId="4ADB787B" w14:textId="77777777" w:rsidR="004B4CD2" w:rsidRPr="004B4CD2" w:rsidRDefault="004B4CD2" w:rsidP="00404624">
            <w:pPr>
              <w:rPr>
                <w:rFonts w:asciiTheme="minorHAnsi" w:hAnsiTheme="minorHAnsi" w:cstheme="minorHAnsi"/>
                <w:lang w:val="mk-MK"/>
              </w:rPr>
            </w:pPr>
            <w:r w:rsidRPr="004B4CD2">
              <w:rPr>
                <w:rFonts w:asciiTheme="minorHAnsi" w:hAnsiTheme="minorHAnsi" w:cstheme="minorHAnsi"/>
                <w:sz w:val="22"/>
                <w:szCs w:val="22"/>
                <w:lang w:val="mk-MK"/>
              </w:rPr>
              <w:lastRenderedPageBreak/>
              <w:t>/</w:t>
            </w:r>
          </w:p>
        </w:tc>
      </w:tr>
      <w:tr w:rsidR="004B4CD2" w:rsidRPr="004B4CD2" w14:paraId="1680D329" w14:textId="77777777" w:rsidTr="00404624">
        <w:tc>
          <w:tcPr>
            <w:tcW w:w="1911" w:type="dxa"/>
            <w:vAlign w:val="center"/>
          </w:tcPr>
          <w:p w14:paraId="705C433F" w14:textId="77777777" w:rsidR="004B4CD2" w:rsidRPr="004B4CD2" w:rsidRDefault="004B4CD2" w:rsidP="00404624">
            <w:pPr>
              <w:rPr>
                <w:rFonts w:asciiTheme="minorHAnsi" w:hAnsiTheme="minorHAnsi" w:cstheme="minorHAnsi"/>
                <w:lang w:val="ru-RU"/>
              </w:rPr>
            </w:pPr>
            <w:r w:rsidRPr="004B4CD2">
              <w:rPr>
                <w:rFonts w:asciiTheme="minorHAnsi" w:hAnsiTheme="minorHAnsi" w:cstheme="minorHAnsi"/>
                <w:sz w:val="22"/>
                <w:szCs w:val="22"/>
                <w:lang w:val="ru-RU"/>
              </w:rPr>
              <w:t>Висината на капиталот потребен за покривање на ризикот од промена на цената на стоките</w:t>
            </w:r>
          </w:p>
        </w:tc>
        <w:tc>
          <w:tcPr>
            <w:tcW w:w="7836" w:type="dxa"/>
            <w:vAlign w:val="center"/>
          </w:tcPr>
          <w:p w14:paraId="1E8CB177" w14:textId="77777777" w:rsidR="004B4CD2" w:rsidRPr="004B4CD2" w:rsidRDefault="004B4CD2" w:rsidP="00404624">
            <w:pPr>
              <w:rPr>
                <w:rFonts w:asciiTheme="minorHAnsi" w:hAnsiTheme="minorHAnsi" w:cstheme="minorHAnsi"/>
                <w:lang w:val="mk-MK"/>
              </w:rPr>
            </w:pPr>
            <w:r w:rsidRPr="004B4CD2">
              <w:rPr>
                <w:rFonts w:asciiTheme="minorHAnsi" w:hAnsiTheme="minorHAnsi" w:cstheme="minorHAnsi"/>
                <w:sz w:val="22"/>
                <w:szCs w:val="22"/>
                <w:lang w:val="mk-MK"/>
              </w:rPr>
              <w:t>/</w:t>
            </w:r>
          </w:p>
        </w:tc>
      </w:tr>
      <w:tr w:rsidR="004B4CD2" w:rsidRPr="004B4CD2" w14:paraId="1DB3293E" w14:textId="77777777" w:rsidTr="00404624">
        <w:tc>
          <w:tcPr>
            <w:tcW w:w="1911" w:type="dxa"/>
            <w:vAlign w:val="center"/>
          </w:tcPr>
          <w:p w14:paraId="673196D2" w14:textId="77777777" w:rsidR="004B4CD2" w:rsidRPr="004B4CD2" w:rsidRDefault="004B4CD2" w:rsidP="00404624">
            <w:pPr>
              <w:rPr>
                <w:rFonts w:asciiTheme="minorHAnsi" w:hAnsiTheme="minorHAnsi" w:cstheme="minorHAnsi"/>
                <w:lang w:val="ru-RU"/>
              </w:rPr>
            </w:pPr>
            <w:r w:rsidRPr="004B4CD2">
              <w:rPr>
                <w:rFonts w:asciiTheme="minorHAnsi" w:hAnsiTheme="minorHAnsi" w:cstheme="minorHAnsi"/>
                <w:sz w:val="22"/>
                <w:szCs w:val="22"/>
                <w:lang w:val="ru-RU"/>
              </w:rPr>
              <w:t>Висината на капиталот потребен за покривање на надминувањето на лимитите на изложеност</w:t>
            </w:r>
          </w:p>
        </w:tc>
        <w:tc>
          <w:tcPr>
            <w:tcW w:w="7836" w:type="dxa"/>
            <w:vAlign w:val="center"/>
          </w:tcPr>
          <w:p w14:paraId="7473E8B4" w14:textId="77777777" w:rsidR="004B4CD2" w:rsidRPr="004B4CD2" w:rsidRDefault="004B4CD2" w:rsidP="00404624">
            <w:pPr>
              <w:rPr>
                <w:rFonts w:asciiTheme="minorHAnsi" w:hAnsiTheme="minorHAnsi" w:cstheme="minorHAnsi"/>
                <w:lang w:val="mk-MK"/>
              </w:rPr>
            </w:pPr>
            <w:r w:rsidRPr="004B4CD2">
              <w:rPr>
                <w:rFonts w:asciiTheme="minorHAnsi" w:hAnsiTheme="minorHAnsi" w:cstheme="minorHAnsi"/>
                <w:sz w:val="22"/>
                <w:szCs w:val="22"/>
                <w:lang w:val="mk-MK"/>
              </w:rPr>
              <w:t>/</w:t>
            </w:r>
          </w:p>
        </w:tc>
      </w:tr>
      <w:tr w:rsidR="004B4CD2" w:rsidRPr="004B4CD2" w14:paraId="52DF459A" w14:textId="77777777" w:rsidTr="00404624">
        <w:tc>
          <w:tcPr>
            <w:tcW w:w="1911" w:type="dxa"/>
            <w:vAlign w:val="center"/>
          </w:tcPr>
          <w:p w14:paraId="7D420011" w14:textId="77777777" w:rsidR="004B4CD2" w:rsidRPr="004B4CD2" w:rsidRDefault="004B4CD2" w:rsidP="00404624">
            <w:pPr>
              <w:rPr>
                <w:rFonts w:asciiTheme="minorHAnsi" w:hAnsiTheme="minorHAnsi" w:cstheme="minorHAnsi"/>
                <w:b/>
                <w:lang w:val="ru-RU"/>
              </w:rPr>
            </w:pPr>
            <w:r w:rsidRPr="004B4CD2">
              <w:rPr>
                <w:rFonts w:asciiTheme="minorHAnsi" w:hAnsiTheme="minorHAnsi" w:cstheme="minorHAnsi"/>
                <w:sz w:val="22"/>
                <w:szCs w:val="22"/>
                <w:lang w:val="ru-RU"/>
              </w:rPr>
              <w:t>Висината на капиталот потребен за покривање на оперативниот ризик</w:t>
            </w:r>
          </w:p>
        </w:tc>
        <w:tc>
          <w:tcPr>
            <w:tcW w:w="7836" w:type="dxa"/>
            <w:vAlign w:val="center"/>
          </w:tcPr>
          <w:p w14:paraId="6809967E" w14:textId="27811FFF" w:rsidR="004B4CD2" w:rsidRPr="004B4CD2" w:rsidRDefault="004B4CD2" w:rsidP="007848FF">
            <w:pPr>
              <w:rPr>
                <w:rFonts w:asciiTheme="minorHAnsi" w:hAnsiTheme="minorHAnsi" w:cstheme="minorHAnsi"/>
                <w:lang w:val="ru-RU"/>
              </w:rPr>
            </w:pPr>
            <w:r w:rsidRPr="004B4CD2">
              <w:rPr>
                <w:rFonts w:asciiTheme="minorHAnsi" w:hAnsiTheme="minorHAnsi" w:cstheme="minorHAnsi"/>
                <w:bCs/>
                <w:sz w:val="22"/>
                <w:szCs w:val="22"/>
              </w:rPr>
              <w:t>Капиталот потребен за покривање на оперативниот ризик изнесува</w:t>
            </w:r>
            <w:r w:rsidR="00452CA1">
              <w:rPr>
                <w:rFonts w:asciiTheme="minorHAnsi" w:hAnsiTheme="minorHAnsi" w:cstheme="minorHAnsi"/>
                <w:bCs/>
                <w:sz w:val="22"/>
                <w:szCs w:val="22"/>
                <w:lang w:val="mk-MK"/>
              </w:rPr>
              <w:t xml:space="preserve"> </w:t>
            </w:r>
            <w:r w:rsidR="006D5D3C" w:rsidRPr="00836A77">
              <w:rPr>
                <w:rFonts w:asciiTheme="minorHAnsi" w:hAnsiTheme="minorHAnsi" w:cstheme="minorHAnsi"/>
                <w:b/>
                <w:sz w:val="22"/>
                <w:szCs w:val="22"/>
                <w:lang w:val="mk-MK"/>
              </w:rPr>
              <w:t>45</w:t>
            </w:r>
            <w:r w:rsidR="00DD7409">
              <w:rPr>
                <w:rFonts w:asciiTheme="minorHAnsi" w:hAnsiTheme="minorHAnsi" w:cstheme="minorHAnsi"/>
                <w:b/>
                <w:sz w:val="22"/>
                <w:szCs w:val="22"/>
                <w:lang w:val="en-US"/>
              </w:rPr>
              <w:t>.</w:t>
            </w:r>
            <w:r w:rsidR="006D5D3C" w:rsidRPr="00836A77">
              <w:rPr>
                <w:rFonts w:asciiTheme="minorHAnsi" w:hAnsiTheme="minorHAnsi" w:cstheme="minorHAnsi"/>
                <w:b/>
                <w:sz w:val="22"/>
                <w:szCs w:val="22"/>
                <w:lang w:val="mk-MK"/>
              </w:rPr>
              <w:t xml:space="preserve">775 </w:t>
            </w:r>
            <w:r w:rsidRPr="004B4CD2">
              <w:rPr>
                <w:rFonts w:asciiTheme="minorHAnsi" w:hAnsiTheme="minorHAnsi" w:cstheme="minorHAnsi"/>
                <w:b/>
                <w:sz w:val="22"/>
                <w:szCs w:val="22"/>
                <w:lang w:val="mk-MK"/>
              </w:rPr>
              <w:t>илјади денари</w:t>
            </w:r>
            <w:r w:rsidRPr="004B4CD2">
              <w:rPr>
                <w:rFonts w:asciiTheme="minorHAnsi" w:hAnsiTheme="minorHAnsi" w:cstheme="minorHAnsi"/>
                <w:sz w:val="22"/>
                <w:szCs w:val="22"/>
                <w:lang w:val="mk-MK"/>
              </w:rPr>
              <w:t>.</w:t>
            </w:r>
          </w:p>
        </w:tc>
      </w:tr>
      <w:tr w:rsidR="004B4CD2" w:rsidRPr="004B4CD2" w14:paraId="41A5241C" w14:textId="77777777" w:rsidTr="00404624">
        <w:tc>
          <w:tcPr>
            <w:tcW w:w="1911" w:type="dxa"/>
            <w:tcBorders>
              <w:bottom w:val="single" w:sz="4" w:space="0" w:color="auto"/>
            </w:tcBorders>
            <w:vAlign w:val="center"/>
          </w:tcPr>
          <w:p w14:paraId="5A7DF903" w14:textId="77777777" w:rsidR="004B4CD2" w:rsidRPr="004B4CD2" w:rsidRDefault="004B4CD2" w:rsidP="00404624">
            <w:pPr>
              <w:rPr>
                <w:rFonts w:asciiTheme="minorHAnsi" w:hAnsiTheme="minorHAnsi" w:cstheme="minorHAnsi"/>
                <w:lang w:val="ru-RU"/>
              </w:rPr>
            </w:pPr>
            <w:r w:rsidRPr="004B4CD2">
              <w:rPr>
                <w:rFonts w:asciiTheme="minorHAnsi" w:hAnsiTheme="minorHAnsi" w:cstheme="minorHAnsi"/>
                <w:sz w:val="22"/>
                <w:szCs w:val="22"/>
                <w:lang w:val="ru-RU"/>
              </w:rPr>
              <w:t xml:space="preserve">Висината на капиталот потребен за покривање други ризици, доколку банката по сопствена оценка утврдила дополнителен износ на капитал потребен за покривање на тие ризици, или </w:t>
            </w:r>
            <w:r w:rsidRPr="004B4CD2">
              <w:rPr>
                <w:rFonts w:asciiTheme="minorHAnsi" w:hAnsiTheme="minorHAnsi" w:cstheme="minorHAnsi"/>
                <w:sz w:val="22"/>
                <w:szCs w:val="22"/>
                <w:lang w:val="ru-RU"/>
              </w:rPr>
              <w:lastRenderedPageBreak/>
              <w:t>доколку Народната банка утврдила дополнителен износ за потребен капитал, заради природата, видот и обемот на активностите коишто ги извршува банката и ризиците на кои е изложена како резултат на тие активности.</w:t>
            </w:r>
          </w:p>
        </w:tc>
        <w:tc>
          <w:tcPr>
            <w:tcW w:w="7836" w:type="dxa"/>
            <w:tcBorders>
              <w:bottom w:val="single" w:sz="4" w:space="0" w:color="auto"/>
            </w:tcBorders>
            <w:vAlign w:val="center"/>
          </w:tcPr>
          <w:p w14:paraId="2DC6E0A7" w14:textId="77777777" w:rsidR="004B4CD2" w:rsidRPr="004B4CD2" w:rsidRDefault="004B4CD2" w:rsidP="00404624">
            <w:pPr>
              <w:rPr>
                <w:rFonts w:asciiTheme="minorHAnsi" w:hAnsiTheme="minorHAnsi" w:cstheme="minorHAnsi"/>
                <w:lang w:val="mk-MK"/>
              </w:rPr>
            </w:pPr>
            <w:r w:rsidRPr="004B4CD2">
              <w:rPr>
                <w:rFonts w:asciiTheme="minorHAnsi" w:hAnsiTheme="minorHAnsi" w:cstheme="minorHAnsi"/>
                <w:sz w:val="22"/>
                <w:szCs w:val="22"/>
                <w:lang w:val="mk-MK"/>
              </w:rPr>
              <w:lastRenderedPageBreak/>
              <w:t>/</w:t>
            </w:r>
          </w:p>
        </w:tc>
      </w:tr>
      <w:tr w:rsidR="004B4CD2" w:rsidRPr="004B4CD2" w14:paraId="49F36862" w14:textId="77777777" w:rsidTr="00404624">
        <w:tc>
          <w:tcPr>
            <w:tcW w:w="9747" w:type="dxa"/>
            <w:gridSpan w:val="2"/>
            <w:shd w:val="clear" w:color="auto" w:fill="000082"/>
            <w:vAlign w:val="center"/>
          </w:tcPr>
          <w:p w14:paraId="77671DE9" w14:textId="77777777" w:rsidR="004B4CD2" w:rsidRPr="004B4CD2" w:rsidRDefault="004B4CD2" w:rsidP="00404624">
            <w:pPr>
              <w:rPr>
                <w:rFonts w:asciiTheme="minorHAnsi" w:hAnsiTheme="minorHAnsi" w:cstheme="minorHAnsi"/>
                <w:b/>
                <w:color w:val="FFFFFF"/>
                <w:lang w:val="ru-RU"/>
              </w:rPr>
            </w:pPr>
            <w:r w:rsidRPr="004B4CD2">
              <w:rPr>
                <w:rFonts w:asciiTheme="minorHAnsi" w:hAnsiTheme="minorHAnsi" w:cstheme="minorHAnsi"/>
                <w:b/>
                <w:color w:val="FFFFFF"/>
                <w:sz w:val="22"/>
                <w:szCs w:val="22"/>
                <w:lang w:val="ru-RU"/>
              </w:rPr>
              <w:t xml:space="preserve">4. </w:t>
            </w:r>
            <w:r w:rsidRPr="004B4CD2">
              <w:rPr>
                <w:rFonts w:asciiTheme="minorHAnsi" w:hAnsiTheme="minorHAnsi" w:cstheme="minorHAnsi"/>
                <w:b/>
                <w:caps/>
                <w:color w:val="FFFFFF"/>
                <w:sz w:val="22"/>
                <w:szCs w:val="22"/>
                <w:lang w:val="ru-RU"/>
              </w:rPr>
              <w:t>Податоци за процесот на управување со ризиците</w:t>
            </w:r>
          </w:p>
        </w:tc>
      </w:tr>
      <w:tr w:rsidR="004B4CD2" w:rsidRPr="004B4CD2" w14:paraId="52D06903" w14:textId="77777777" w:rsidTr="00404624">
        <w:tc>
          <w:tcPr>
            <w:tcW w:w="1911" w:type="dxa"/>
            <w:vAlign w:val="center"/>
          </w:tcPr>
          <w:p w14:paraId="19F85171" w14:textId="77777777" w:rsidR="004B4CD2" w:rsidRPr="004B4CD2" w:rsidRDefault="004B4CD2" w:rsidP="00404624">
            <w:pPr>
              <w:rPr>
                <w:rFonts w:asciiTheme="minorHAnsi" w:hAnsiTheme="minorHAnsi" w:cstheme="minorHAnsi"/>
                <w:lang w:val="ru-RU"/>
              </w:rPr>
            </w:pPr>
            <w:r w:rsidRPr="004B4CD2">
              <w:rPr>
                <w:rFonts w:asciiTheme="minorHAnsi" w:hAnsiTheme="minorHAnsi" w:cstheme="minorHAnsi"/>
                <w:sz w:val="22"/>
                <w:szCs w:val="22"/>
                <w:lang w:val="ru-RU"/>
              </w:rPr>
              <w:t>Стратегиите и процесите на управување со секој поединечен ризик</w:t>
            </w:r>
          </w:p>
        </w:tc>
        <w:tc>
          <w:tcPr>
            <w:tcW w:w="7836" w:type="dxa"/>
            <w:vAlign w:val="center"/>
          </w:tcPr>
          <w:p w14:paraId="66592DB8" w14:textId="77777777" w:rsidR="004B4CD2" w:rsidRPr="004B4CD2" w:rsidRDefault="004B4CD2" w:rsidP="00452CA1">
            <w:pPr>
              <w:jc w:val="both"/>
              <w:rPr>
                <w:rFonts w:asciiTheme="minorHAnsi" w:hAnsiTheme="minorHAnsi" w:cstheme="minorHAnsi"/>
                <w:lang w:val="mk-MK"/>
              </w:rPr>
            </w:pPr>
          </w:p>
          <w:p w14:paraId="063BEB9A" w14:textId="77777777" w:rsidR="004B4CD2" w:rsidRPr="004B4CD2" w:rsidRDefault="004B4CD2" w:rsidP="00452CA1">
            <w:pPr>
              <w:jc w:val="both"/>
              <w:rPr>
                <w:rFonts w:asciiTheme="minorHAnsi" w:eastAsia="Helvetica-Oblique" w:hAnsiTheme="minorHAnsi" w:cstheme="minorHAnsi"/>
                <w:lang w:val="mk-MK" w:eastAsia="mk-MK"/>
              </w:rPr>
            </w:pPr>
            <w:r w:rsidRPr="004B4CD2">
              <w:rPr>
                <w:rFonts w:asciiTheme="minorHAnsi" w:eastAsia="Helvetica-Oblique" w:hAnsiTheme="minorHAnsi" w:cstheme="minorHAnsi"/>
                <w:sz w:val="22"/>
                <w:szCs w:val="22"/>
                <w:lang w:val="mk-MK" w:eastAsia="mk-MK"/>
              </w:rPr>
              <w:t>Банката има воспоставено Стратегија за преземање и управување со ризиците, која е усвоена од</w:t>
            </w:r>
            <w:r w:rsidR="00452CA1">
              <w:rPr>
                <w:rFonts w:asciiTheme="minorHAnsi" w:eastAsia="Helvetica-Oblique" w:hAnsiTheme="minorHAnsi" w:cstheme="minorHAnsi"/>
                <w:sz w:val="22"/>
                <w:szCs w:val="22"/>
                <w:lang w:val="mk-MK" w:eastAsia="mk-MK"/>
              </w:rPr>
              <w:t xml:space="preserve"> </w:t>
            </w:r>
            <w:r w:rsidRPr="004B4CD2">
              <w:rPr>
                <w:rFonts w:asciiTheme="minorHAnsi" w:eastAsia="Helvetica-Oblique" w:hAnsiTheme="minorHAnsi" w:cstheme="minorHAnsi"/>
                <w:sz w:val="22"/>
                <w:szCs w:val="22"/>
                <w:lang w:val="mk-MK" w:eastAsia="mk-MK"/>
              </w:rPr>
              <w:t>страна на нејзиниот Надзорен Одбор и истата редовно се ревидира.</w:t>
            </w:r>
            <w:r w:rsidRPr="004B4CD2">
              <w:rPr>
                <w:rFonts w:asciiTheme="minorHAnsi" w:eastAsia="Helvetica-Oblique" w:hAnsiTheme="minorHAnsi" w:cstheme="minorHAnsi"/>
                <w:sz w:val="22"/>
                <w:szCs w:val="22"/>
                <w:lang w:val="mk-MK" w:eastAsia="mk-MK"/>
              </w:rPr>
              <w:br/>
              <w:t>Политиките за управување со ризик на Банката се воспоставени за да ги идентификуваат и</w:t>
            </w:r>
            <w:r w:rsidR="00452CA1">
              <w:rPr>
                <w:rFonts w:asciiTheme="minorHAnsi" w:eastAsia="Helvetica-Oblique" w:hAnsiTheme="minorHAnsi" w:cstheme="minorHAnsi"/>
                <w:sz w:val="22"/>
                <w:szCs w:val="22"/>
                <w:lang w:val="mk-MK" w:eastAsia="mk-MK"/>
              </w:rPr>
              <w:t xml:space="preserve"> </w:t>
            </w:r>
            <w:r w:rsidRPr="004B4CD2">
              <w:rPr>
                <w:rFonts w:asciiTheme="minorHAnsi" w:eastAsia="Helvetica-Oblique" w:hAnsiTheme="minorHAnsi" w:cstheme="minorHAnsi"/>
                <w:sz w:val="22"/>
                <w:szCs w:val="22"/>
                <w:lang w:val="mk-MK" w:eastAsia="mk-MK"/>
              </w:rPr>
              <w:t>анализираат ризиците со кои се соочува Банката, за поставување на соодветни лимити и контроли</w:t>
            </w:r>
            <w:r w:rsidR="00452CA1">
              <w:rPr>
                <w:rFonts w:asciiTheme="minorHAnsi" w:eastAsia="Helvetica-Oblique" w:hAnsiTheme="minorHAnsi" w:cstheme="minorHAnsi"/>
                <w:sz w:val="22"/>
                <w:szCs w:val="22"/>
                <w:lang w:val="mk-MK" w:eastAsia="mk-MK"/>
              </w:rPr>
              <w:t xml:space="preserve"> </w:t>
            </w:r>
            <w:r w:rsidRPr="004B4CD2">
              <w:rPr>
                <w:rFonts w:asciiTheme="minorHAnsi" w:eastAsia="Helvetica-Oblique" w:hAnsiTheme="minorHAnsi" w:cstheme="minorHAnsi"/>
                <w:sz w:val="22"/>
                <w:szCs w:val="22"/>
                <w:lang w:val="mk-MK" w:eastAsia="mk-MK"/>
              </w:rPr>
              <w:t>за ризиците, и да ги следи ризиците и усогласеност со лимитите.</w:t>
            </w:r>
          </w:p>
          <w:p w14:paraId="43CA1ACF" w14:textId="77777777" w:rsidR="004B4CD2" w:rsidRPr="004B4CD2" w:rsidRDefault="004B4CD2" w:rsidP="00452CA1">
            <w:pPr>
              <w:jc w:val="both"/>
              <w:rPr>
                <w:rFonts w:asciiTheme="minorHAnsi" w:eastAsia="Helvetica-Oblique" w:hAnsiTheme="minorHAnsi" w:cstheme="minorHAnsi"/>
                <w:lang w:val="mk-MK" w:eastAsia="mk-MK"/>
              </w:rPr>
            </w:pPr>
            <w:r w:rsidRPr="004B4CD2">
              <w:rPr>
                <w:rFonts w:asciiTheme="minorHAnsi" w:eastAsia="Helvetica-Oblique" w:hAnsiTheme="minorHAnsi" w:cstheme="minorHAnsi"/>
                <w:sz w:val="22"/>
                <w:szCs w:val="22"/>
                <w:lang w:val="mk-MK" w:eastAsia="mk-MK"/>
              </w:rPr>
              <w:t>Политиките и системите за управување со ризик редовно се следат и анализираат дали ги</w:t>
            </w:r>
            <w:r w:rsidR="00452CA1">
              <w:rPr>
                <w:rFonts w:asciiTheme="minorHAnsi" w:eastAsia="Helvetica-Oblique" w:hAnsiTheme="minorHAnsi" w:cstheme="minorHAnsi"/>
                <w:sz w:val="22"/>
                <w:szCs w:val="22"/>
                <w:lang w:val="mk-MK" w:eastAsia="mk-MK"/>
              </w:rPr>
              <w:t xml:space="preserve"> </w:t>
            </w:r>
            <w:r w:rsidRPr="004B4CD2">
              <w:rPr>
                <w:rFonts w:asciiTheme="minorHAnsi" w:eastAsia="Helvetica-Oblique" w:hAnsiTheme="minorHAnsi" w:cstheme="minorHAnsi"/>
                <w:sz w:val="22"/>
                <w:szCs w:val="22"/>
                <w:lang w:val="mk-MK" w:eastAsia="mk-MK"/>
              </w:rPr>
              <w:t>рефлектираат промените во пазарните услови, и понудените производи и услуги. Банката, преку</w:t>
            </w:r>
            <w:r w:rsidR="00452CA1">
              <w:rPr>
                <w:rFonts w:asciiTheme="minorHAnsi" w:eastAsia="Helvetica-Oblique" w:hAnsiTheme="minorHAnsi" w:cstheme="minorHAnsi"/>
                <w:sz w:val="22"/>
                <w:szCs w:val="22"/>
                <w:lang w:val="mk-MK" w:eastAsia="mk-MK"/>
              </w:rPr>
              <w:t xml:space="preserve"> </w:t>
            </w:r>
            <w:r w:rsidRPr="004B4CD2">
              <w:rPr>
                <w:rFonts w:asciiTheme="minorHAnsi" w:eastAsia="Helvetica-Oblique" w:hAnsiTheme="minorHAnsi" w:cstheme="minorHAnsi"/>
                <w:sz w:val="22"/>
                <w:szCs w:val="22"/>
                <w:lang w:val="mk-MK" w:eastAsia="mk-MK"/>
              </w:rPr>
              <w:t>обуки и процедури и политики за управување, има за цел да создаде конструктивна контролна</w:t>
            </w:r>
            <w:r w:rsidR="00452CA1">
              <w:rPr>
                <w:rFonts w:asciiTheme="minorHAnsi" w:eastAsia="Helvetica-Oblique" w:hAnsiTheme="minorHAnsi" w:cstheme="minorHAnsi"/>
                <w:sz w:val="22"/>
                <w:szCs w:val="22"/>
                <w:lang w:val="mk-MK" w:eastAsia="mk-MK"/>
              </w:rPr>
              <w:t xml:space="preserve"> </w:t>
            </w:r>
            <w:r w:rsidRPr="004B4CD2">
              <w:rPr>
                <w:rFonts w:asciiTheme="minorHAnsi" w:eastAsia="Helvetica-Oblique" w:hAnsiTheme="minorHAnsi" w:cstheme="minorHAnsi"/>
                <w:sz w:val="22"/>
                <w:szCs w:val="22"/>
                <w:lang w:val="mk-MK" w:eastAsia="mk-MK"/>
              </w:rPr>
              <w:t>средина, каде сите вработени ќе ги разберат своите улоги и задолженија.</w:t>
            </w:r>
          </w:p>
          <w:p w14:paraId="3B7342F4" w14:textId="77777777" w:rsidR="004B4CD2" w:rsidRPr="004B4CD2" w:rsidRDefault="004B4CD2" w:rsidP="00452CA1">
            <w:pPr>
              <w:jc w:val="both"/>
              <w:rPr>
                <w:rFonts w:asciiTheme="minorHAnsi" w:eastAsia="Helvetica-Oblique" w:hAnsiTheme="minorHAnsi" w:cstheme="minorHAnsi"/>
                <w:lang w:val="mk-MK" w:eastAsia="mk-MK"/>
              </w:rPr>
            </w:pPr>
          </w:p>
          <w:p w14:paraId="4FDC569E" w14:textId="77777777" w:rsidR="004B4CD2" w:rsidRPr="004B4CD2" w:rsidRDefault="004B4CD2" w:rsidP="00452CA1">
            <w:pPr>
              <w:jc w:val="both"/>
              <w:rPr>
                <w:rFonts w:asciiTheme="minorHAnsi" w:eastAsia="Helvetica-Oblique" w:hAnsiTheme="minorHAnsi" w:cstheme="minorHAnsi"/>
                <w:lang w:val="mk-MK" w:eastAsia="mk-MK"/>
              </w:rPr>
            </w:pPr>
            <w:r w:rsidRPr="004B4CD2">
              <w:rPr>
                <w:rFonts w:asciiTheme="minorHAnsi" w:eastAsia="Helvetica-Oblique" w:hAnsiTheme="minorHAnsi" w:cstheme="minorHAnsi"/>
                <w:b/>
                <w:bCs/>
                <w:sz w:val="22"/>
                <w:szCs w:val="22"/>
                <w:lang w:val="mk-MK" w:eastAsia="mk-MK"/>
              </w:rPr>
              <w:t>Кредитен ризик, вклучувајќи го и ризикот на земјата</w:t>
            </w:r>
          </w:p>
          <w:p w14:paraId="52F3CC48" w14:textId="77777777" w:rsidR="004B4CD2" w:rsidRPr="004B4CD2" w:rsidRDefault="004B4CD2" w:rsidP="00452CA1">
            <w:pPr>
              <w:jc w:val="both"/>
              <w:rPr>
                <w:rFonts w:asciiTheme="minorHAnsi" w:eastAsia="Helvetica-Oblique" w:hAnsiTheme="minorHAnsi" w:cstheme="minorHAnsi"/>
                <w:lang w:val="mk-MK" w:eastAsia="mk-MK"/>
              </w:rPr>
            </w:pPr>
            <w:r w:rsidRPr="004B4CD2">
              <w:rPr>
                <w:rFonts w:asciiTheme="minorHAnsi" w:eastAsia="Helvetica-Oblique" w:hAnsiTheme="minorHAnsi" w:cstheme="minorHAnsi"/>
                <w:sz w:val="22"/>
                <w:szCs w:val="22"/>
                <w:lang w:val="mk-MK" w:eastAsia="mk-MK"/>
              </w:rPr>
              <w:t>Кредитен ризик е ризикот по добивката или капиталот кој произлегува од неможноста на</w:t>
            </w:r>
            <w:r w:rsidR="00452CA1">
              <w:rPr>
                <w:rFonts w:asciiTheme="minorHAnsi" w:eastAsia="Helvetica-Oblique" w:hAnsiTheme="minorHAnsi" w:cstheme="minorHAnsi"/>
                <w:sz w:val="22"/>
                <w:szCs w:val="22"/>
                <w:lang w:val="mk-MK" w:eastAsia="mk-MK"/>
              </w:rPr>
              <w:t xml:space="preserve"> </w:t>
            </w:r>
            <w:r w:rsidRPr="004B4CD2">
              <w:rPr>
                <w:rFonts w:asciiTheme="minorHAnsi" w:eastAsia="Helvetica-Oblique" w:hAnsiTheme="minorHAnsi" w:cstheme="minorHAnsi"/>
                <w:sz w:val="22"/>
                <w:szCs w:val="22"/>
                <w:lang w:val="mk-MK" w:eastAsia="mk-MK"/>
              </w:rPr>
              <w:t>позајмувачот да ги исполни обврските од договорот или на друг начин да постапи во спротивност</w:t>
            </w:r>
            <w:r w:rsidR="00452CA1">
              <w:rPr>
                <w:rFonts w:asciiTheme="minorHAnsi" w:eastAsia="Helvetica-Oblique" w:hAnsiTheme="minorHAnsi" w:cstheme="minorHAnsi"/>
                <w:sz w:val="22"/>
                <w:szCs w:val="22"/>
                <w:lang w:val="mk-MK" w:eastAsia="mk-MK"/>
              </w:rPr>
              <w:t xml:space="preserve"> </w:t>
            </w:r>
            <w:r w:rsidRPr="004B4CD2">
              <w:rPr>
                <w:rFonts w:asciiTheme="minorHAnsi" w:eastAsia="Helvetica-Oblique" w:hAnsiTheme="minorHAnsi" w:cstheme="minorHAnsi"/>
                <w:sz w:val="22"/>
                <w:szCs w:val="22"/>
                <w:lang w:val="mk-MK" w:eastAsia="mk-MK"/>
              </w:rPr>
              <w:t>на она што е договорено. Кредитниот ризик постои во сите активности каде што профитабилноста</w:t>
            </w:r>
            <w:r w:rsidR="00452CA1">
              <w:rPr>
                <w:rFonts w:asciiTheme="minorHAnsi" w:eastAsia="Helvetica-Oblique" w:hAnsiTheme="minorHAnsi" w:cstheme="minorHAnsi"/>
                <w:sz w:val="22"/>
                <w:szCs w:val="22"/>
                <w:lang w:val="mk-MK" w:eastAsia="mk-MK"/>
              </w:rPr>
              <w:t xml:space="preserve"> </w:t>
            </w:r>
            <w:r w:rsidRPr="004B4CD2">
              <w:rPr>
                <w:rFonts w:asciiTheme="minorHAnsi" w:eastAsia="Helvetica-Oblique" w:hAnsiTheme="minorHAnsi" w:cstheme="minorHAnsi"/>
                <w:sz w:val="22"/>
                <w:szCs w:val="22"/>
                <w:lang w:val="mk-MK" w:eastAsia="mk-MK"/>
              </w:rPr>
              <w:t>зависи од перформансите на позајмувачот или другата договорна страна.</w:t>
            </w:r>
            <w:r w:rsidRPr="004B4CD2">
              <w:rPr>
                <w:rFonts w:asciiTheme="minorHAnsi" w:eastAsia="Helvetica-Oblique" w:hAnsiTheme="minorHAnsi" w:cstheme="minorHAnsi"/>
                <w:sz w:val="22"/>
                <w:szCs w:val="22"/>
                <w:lang w:val="mk-MK" w:eastAsia="mk-MK"/>
              </w:rPr>
              <w:br/>
              <w:t>Ризик на земја претставува ризик од загуба што произлегува од изложеноста на Банката кон</w:t>
            </w:r>
            <w:r w:rsidR="00452CA1">
              <w:rPr>
                <w:rFonts w:asciiTheme="minorHAnsi" w:eastAsia="Helvetica-Oblique" w:hAnsiTheme="minorHAnsi" w:cstheme="minorHAnsi"/>
                <w:sz w:val="22"/>
                <w:szCs w:val="22"/>
                <w:lang w:val="mk-MK" w:eastAsia="mk-MK"/>
              </w:rPr>
              <w:t xml:space="preserve"> </w:t>
            </w:r>
            <w:r w:rsidRPr="004B4CD2">
              <w:rPr>
                <w:rFonts w:asciiTheme="minorHAnsi" w:eastAsia="Helvetica-Oblique" w:hAnsiTheme="minorHAnsi" w:cstheme="minorHAnsi"/>
                <w:sz w:val="22"/>
                <w:szCs w:val="22"/>
                <w:lang w:val="mk-MK" w:eastAsia="mk-MK"/>
              </w:rPr>
              <w:t>одделна земја поради економски, политички и социјални услови во земјата должник.</w:t>
            </w:r>
          </w:p>
          <w:p w14:paraId="6DF0BAAC" w14:textId="77777777" w:rsidR="004B4CD2" w:rsidRPr="004B4CD2" w:rsidRDefault="004B4CD2" w:rsidP="00452CA1">
            <w:pPr>
              <w:jc w:val="both"/>
              <w:rPr>
                <w:rFonts w:asciiTheme="minorHAnsi" w:eastAsia="Helvetica-Oblique" w:hAnsiTheme="minorHAnsi" w:cstheme="minorHAnsi"/>
                <w:lang w:val="mk-MK" w:eastAsia="mk-MK"/>
              </w:rPr>
            </w:pPr>
            <w:r w:rsidRPr="004B4CD2">
              <w:rPr>
                <w:rFonts w:asciiTheme="minorHAnsi" w:eastAsia="Helvetica-Oblique" w:hAnsiTheme="minorHAnsi" w:cstheme="minorHAnsi"/>
                <w:sz w:val="22"/>
                <w:szCs w:val="22"/>
                <w:lang w:val="mk-MK" w:eastAsia="mk-MK"/>
              </w:rPr>
              <w:t>Процедурите за управување со кредитен ризик ги вклучуваат следните процеси:</w:t>
            </w:r>
          </w:p>
          <w:p w14:paraId="4736547E" w14:textId="77777777" w:rsidR="004B4CD2" w:rsidRPr="004B4CD2" w:rsidRDefault="004B4CD2" w:rsidP="00452CA1">
            <w:pPr>
              <w:jc w:val="both"/>
              <w:rPr>
                <w:rFonts w:asciiTheme="minorHAnsi" w:eastAsia="Helvetica-Oblique" w:hAnsiTheme="minorHAnsi" w:cstheme="minorHAnsi"/>
                <w:lang w:val="mk-MK" w:eastAsia="mk-MK"/>
              </w:rPr>
            </w:pPr>
            <w:r w:rsidRPr="004B4CD2">
              <w:rPr>
                <w:rFonts w:asciiTheme="minorHAnsi" w:eastAsia="Helvetica-Oblique" w:hAnsiTheme="minorHAnsi" w:cstheme="minorHAnsi"/>
                <w:sz w:val="22"/>
                <w:szCs w:val="22"/>
                <w:lang w:val="mk-MK" w:eastAsia="mk-MK"/>
              </w:rPr>
              <w:t>идентификација на кредитниот ризик</w:t>
            </w:r>
          </w:p>
          <w:p w14:paraId="0A5430EE" w14:textId="77777777" w:rsidR="004B4CD2" w:rsidRPr="004B4CD2" w:rsidRDefault="004B4CD2" w:rsidP="00452CA1">
            <w:pPr>
              <w:jc w:val="both"/>
              <w:rPr>
                <w:rFonts w:asciiTheme="minorHAnsi" w:eastAsia="Helvetica-Oblique" w:hAnsiTheme="minorHAnsi" w:cstheme="minorHAnsi"/>
                <w:lang w:val="mk-MK" w:eastAsia="mk-MK"/>
              </w:rPr>
            </w:pPr>
            <w:r w:rsidRPr="004B4CD2">
              <w:rPr>
                <w:rFonts w:asciiTheme="minorHAnsi" w:eastAsia="Helvetica-Oblique" w:hAnsiTheme="minorHAnsi" w:cstheme="minorHAnsi"/>
                <w:sz w:val="22"/>
                <w:szCs w:val="22"/>
                <w:lang w:val="mk-MK" w:eastAsia="mk-MK"/>
              </w:rPr>
              <w:t>мерење на кредитниот ризик</w:t>
            </w:r>
          </w:p>
          <w:p w14:paraId="5AE5D50E" w14:textId="77777777" w:rsidR="004B4CD2" w:rsidRPr="004B4CD2" w:rsidRDefault="004B4CD2" w:rsidP="00452CA1">
            <w:pPr>
              <w:jc w:val="both"/>
              <w:rPr>
                <w:rFonts w:asciiTheme="minorHAnsi" w:eastAsia="Helvetica-Oblique" w:hAnsiTheme="minorHAnsi" w:cstheme="minorHAnsi"/>
                <w:lang w:val="mk-MK" w:eastAsia="mk-MK"/>
              </w:rPr>
            </w:pPr>
            <w:r w:rsidRPr="004B4CD2">
              <w:rPr>
                <w:rFonts w:asciiTheme="minorHAnsi" w:eastAsia="Helvetica-Oblique" w:hAnsiTheme="minorHAnsi" w:cstheme="minorHAnsi"/>
                <w:sz w:val="22"/>
                <w:szCs w:val="22"/>
                <w:lang w:val="mk-MK" w:eastAsia="mk-MK"/>
              </w:rPr>
              <w:t>следење на кредитниот ризик</w:t>
            </w:r>
          </w:p>
          <w:p w14:paraId="3E2B5593" w14:textId="77777777" w:rsidR="004B4CD2" w:rsidRPr="004B4CD2" w:rsidRDefault="004B4CD2" w:rsidP="00452CA1">
            <w:pPr>
              <w:jc w:val="both"/>
              <w:rPr>
                <w:rFonts w:asciiTheme="minorHAnsi" w:eastAsia="Helvetica-Oblique" w:hAnsiTheme="minorHAnsi" w:cstheme="minorHAnsi"/>
                <w:lang w:val="mk-MK" w:eastAsia="mk-MK"/>
              </w:rPr>
            </w:pPr>
            <w:r w:rsidRPr="004B4CD2">
              <w:rPr>
                <w:rFonts w:asciiTheme="minorHAnsi" w:eastAsia="Helvetica-Oblique" w:hAnsiTheme="minorHAnsi" w:cstheme="minorHAnsi"/>
                <w:sz w:val="22"/>
                <w:szCs w:val="22"/>
                <w:lang w:val="mk-MK" w:eastAsia="mk-MK"/>
              </w:rPr>
              <w:t>контрола на кредитниот ризик</w:t>
            </w:r>
          </w:p>
          <w:p w14:paraId="1F7EB9ED" w14:textId="77777777" w:rsidR="004B4CD2" w:rsidRPr="004B4CD2" w:rsidRDefault="004B4CD2" w:rsidP="00452CA1">
            <w:pPr>
              <w:jc w:val="both"/>
              <w:rPr>
                <w:rFonts w:asciiTheme="minorHAnsi" w:eastAsia="Helvetica-Oblique" w:hAnsiTheme="minorHAnsi" w:cstheme="minorHAnsi"/>
                <w:lang w:val="mk-MK" w:eastAsia="mk-MK"/>
              </w:rPr>
            </w:pPr>
          </w:p>
          <w:p w14:paraId="5BAF848D" w14:textId="77777777" w:rsidR="004B4CD2" w:rsidRPr="004B4CD2" w:rsidRDefault="004B4CD2" w:rsidP="00452CA1">
            <w:pPr>
              <w:jc w:val="both"/>
              <w:rPr>
                <w:rFonts w:asciiTheme="minorHAnsi" w:eastAsia="Helvetica-Oblique" w:hAnsiTheme="minorHAnsi" w:cstheme="minorHAnsi"/>
                <w:lang w:val="mk-MK" w:eastAsia="mk-MK"/>
              </w:rPr>
            </w:pPr>
            <w:r w:rsidRPr="004B4CD2">
              <w:rPr>
                <w:rFonts w:asciiTheme="minorHAnsi" w:eastAsia="Helvetica-Oblique" w:hAnsiTheme="minorHAnsi" w:cstheme="minorHAnsi"/>
                <w:sz w:val="22"/>
                <w:szCs w:val="22"/>
                <w:lang w:val="mk-MK" w:eastAsia="mk-MK"/>
              </w:rPr>
              <w:t>Критериуми за кредитирање на население се следните:</w:t>
            </w:r>
          </w:p>
          <w:p w14:paraId="777CEBB0" w14:textId="77777777" w:rsidR="004B4CD2" w:rsidRPr="004B4CD2" w:rsidRDefault="004B4CD2" w:rsidP="00452CA1">
            <w:pPr>
              <w:jc w:val="both"/>
              <w:rPr>
                <w:rFonts w:asciiTheme="minorHAnsi" w:eastAsia="Helvetica-Oblique" w:hAnsiTheme="minorHAnsi" w:cstheme="minorHAnsi"/>
                <w:lang w:val="mk-MK" w:eastAsia="mk-MK"/>
              </w:rPr>
            </w:pPr>
            <w:r w:rsidRPr="004B4CD2">
              <w:rPr>
                <w:rFonts w:asciiTheme="minorHAnsi" w:eastAsia="Helvetica-Oblique" w:hAnsiTheme="minorHAnsi" w:cstheme="minorHAnsi"/>
                <w:sz w:val="22"/>
                <w:szCs w:val="22"/>
                <w:lang w:val="mk-MK" w:eastAsia="mk-MK"/>
              </w:rPr>
              <w:t>процентот на задолженост</w:t>
            </w:r>
          </w:p>
          <w:p w14:paraId="0E6AB04F" w14:textId="77777777" w:rsidR="004B4CD2" w:rsidRPr="004B4CD2" w:rsidRDefault="004B4CD2" w:rsidP="00452CA1">
            <w:pPr>
              <w:jc w:val="both"/>
              <w:rPr>
                <w:rFonts w:asciiTheme="minorHAnsi" w:eastAsia="Helvetica-Oblique" w:hAnsiTheme="minorHAnsi" w:cstheme="minorHAnsi"/>
                <w:lang w:val="mk-MK" w:eastAsia="mk-MK"/>
              </w:rPr>
            </w:pPr>
            <w:r w:rsidRPr="004B4CD2">
              <w:rPr>
                <w:rFonts w:asciiTheme="minorHAnsi" w:eastAsia="Helvetica-Oblique" w:hAnsiTheme="minorHAnsi" w:cstheme="minorHAnsi"/>
                <w:sz w:val="22"/>
                <w:szCs w:val="22"/>
                <w:lang w:val="mk-MK" w:eastAsia="mk-MK"/>
              </w:rPr>
              <w:t>расположив приход на кредитобарателот</w:t>
            </w:r>
          </w:p>
          <w:p w14:paraId="2DFA736F" w14:textId="77777777" w:rsidR="004B4CD2" w:rsidRPr="004B4CD2" w:rsidRDefault="004B4CD2" w:rsidP="00452CA1">
            <w:pPr>
              <w:jc w:val="both"/>
              <w:rPr>
                <w:rFonts w:asciiTheme="minorHAnsi" w:eastAsia="Helvetica-Oblique" w:hAnsiTheme="minorHAnsi" w:cstheme="minorHAnsi"/>
                <w:lang w:val="mk-MK" w:eastAsia="mk-MK"/>
              </w:rPr>
            </w:pPr>
            <w:r w:rsidRPr="004B4CD2">
              <w:rPr>
                <w:rFonts w:asciiTheme="minorHAnsi" w:eastAsia="Helvetica-Oblique" w:hAnsiTheme="minorHAnsi" w:cstheme="minorHAnsi"/>
                <w:sz w:val="22"/>
                <w:szCs w:val="22"/>
                <w:lang w:val="mk-MK" w:eastAsia="mk-MK"/>
              </w:rPr>
              <w:t>бодување на апликациите</w:t>
            </w:r>
          </w:p>
          <w:p w14:paraId="7C2B2DA8" w14:textId="77777777" w:rsidR="004B4CD2" w:rsidRPr="004B4CD2" w:rsidRDefault="004B4CD2" w:rsidP="00452CA1">
            <w:pPr>
              <w:jc w:val="both"/>
              <w:rPr>
                <w:rFonts w:asciiTheme="minorHAnsi" w:eastAsia="Helvetica-Oblique" w:hAnsiTheme="minorHAnsi" w:cstheme="minorHAnsi"/>
                <w:lang w:val="mk-MK" w:eastAsia="mk-MK"/>
              </w:rPr>
            </w:pPr>
            <w:r w:rsidRPr="004B4CD2">
              <w:rPr>
                <w:rFonts w:asciiTheme="minorHAnsi" w:eastAsia="Helvetica-Oblique" w:hAnsiTheme="minorHAnsi" w:cstheme="minorHAnsi"/>
                <w:sz w:val="22"/>
                <w:szCs w:val="22"/>
                <w:lang w:val="mk-MK" w:eastAsia="mk-MK"/>
              </w:rPr>
              <w:t>бодување на однесувањето</w:t>
            </w:r>
          </w:p>
          <w:p w14:paraId="1F83790C" w14:textId="77777777" w:rsidR="004B4CD2" w:rsidRPr="004B4CD2" w:rsidRDefault="004B4CD2" w:rsidP="00452CA1">
            <w:pPr>
              <w:jc w:val="both"/>
              <w:rPr>
                <w:rFonts w:asciiTheme="minorHAnsi" w:eastAsia="Helvetica-Oblique" w:hAnsiTheme="minorHAnsi" w:cstheme="minorHAnsi"/>
                <w:lang w:val="mk-MK" w:eastAsia="mk-MK"/>
              </w:rPr>
            </w:pPr>
            <w:r w:rsidRPr="004B4CD2">
              <w:rPr>
                <w:rFonts w:asciiTheme="minorHAnsi" w:eastAsia="Helvetica-Oblique" w:hAnsiTheme="minorHAnsi" w:cstheme="minorHAnsi"/>
                <w:sz w:val="22"/>
                <w:szCs w:val="22"/>
                <w:lang w:val="mk-MK" w:eastAsia="mk-MK"/>
              </w:rPr>
              <w:t>Клучен критериум за кредитирање на правни лица претставува интерниот рејтинг систем за</w:t>
            </w:r>
            <w:r w:rsidR="00452CA1">
              <w:rPr>
                <w:rFonts w:asciiTheme="minorHAnsi" w:eastAsia="Helvetica-Oblique" w:hAnsiTheme="minorHAnsi" w:cstheme="minorHAnsi"/>
                <w:sz w:val="22"/>
                <w:szCs w:val="22"/>
                <w:lang w:val="mk-MK" w:eastAsia="mk-MK"/>
              </w:rPr>
              <w:t xml:space="preserve"> </w:t>
            </w:r>
            <w:r w:rsidRPr="004B4CD2">
              <w:rPr>
                <w:rFonts w:asciiTheme="minorHAnsi" w:eastAsia="Helvetica-Oblique" w:hAnsiTheme="minorHAnsi" w:cstheme="minorHAnsi"/>
                <w:sz w:val="22"/>
                <w:szCs w:val="22"/>
                <w:lang w:val="mk-MK" w:eastAsia="mk-MK"/>
              </w:rPr>
              <w:t>кредитирање на правни лица, како и деновите на доцнење на клиентот.</w:t>
            </w:r>
          </w:p>
          <w:p w14:paraId="11C7944F" w14:textId="77777777" w:rsidR="004B4CD2" w:rsidRPr="004B4CD2" w:rsidRDefault="004B4CD2" w:rsidP="00452CA1">
            <w:pPr>
              <w:jc w:val="both"/>
              <w:rPr>
                <w:rFonts w:asciiTheme="minorHAnsi" w:eastAsia="Helvetica-Oblique" w:hAnsiTheme="minorHAnsi" w:cstheme="minorHAnsi"/>
                <w:lang w:val="mk-MK" w:eastAsia="mk-MK"/>
              </w:rPr>
            </w:pPr>
          </w:p>
          <w:p w14:paraId="30915119" w14:textId="77777777" w:rsidR="004B4CD2" w:rsidRPr="004B4CD2" w:rsidRDefault="004B4CD2" w:rsidP="00452CA1">
            <w:pPr>
              <w:jc w:val="both"/>
              <w:rPr>
                <w:rFonts w:asciiTheme="minorHAnsi" w:eastAsia="Helvetica-Oblique" w:hAnsiTheme="minorHAnsi" w:cstheme="minorHAnsi"/>
                <w:lang w:val="mk-MK" w:eastAsia="mk-MK"/>
              </w:rPr>
            </w:pPr>
            <w:r w:rsidRPr="004B4CD2">
              <w:rPr>
                <w:rFonts w:asciiTheme="minorHAnsi" w:eastAsia="Helvetica-Oblique" w:hAnsiTheme="minorHAnsi" w:cstheme="minorHAnsi"/>
                <w:b/>
                <w:bCs/>
                <w:sz w:val="22"/>
                <w:szCs w:val="22"/>
                <w:lang w:val="mk-MK" w:eastAsia="mk-MK"/>
              </w:rPr>
              <w:lastRenderedPageBreak/>
              <w:t>Ризик од концентрација на изложеноста</w:t>
            </w:r>
          </w:p>
          <w:p w14:paraId="51E100FA" w14:textId="77777777" w:rsidR="004B4CD2" w:rsidRPr="004B4CD2" w:rsidRDefault="004B4CD2" w:rsidP="00C46D1D">
            <w:pPr>
              <w:jc w:val="both"/>
              <w:rPr>
                <w:rFonts w:asciiTheme="minorHAnsi" w:eastAsia="Helvetica-Oblique" w:hAnsiTheme="minorHAnsi" w:cstheme="minorHAnsi"/>
                <w:lang w:val="mk-MK" w:eastAsia="mk-MK"/>
              </w:rPr>
            </w:pPr>
            <w:r w:rsidRPr="004B4CD2">
              <w:rPr>
                <w:rFonts w:asciiTheme="minorHAnsi" w:eastAsia="Helvetica-Oblique" w:hAnsiTheme="minorHAnsi" w:cstheme="minorHAnsi"/>
                <w:sz w:val="22"/>
                <w:szCs w:val="22"/>
                <w:lang w:val="mk-MK" w:eastAsia="mk-MK"/>
              </w:rPr>
              <w:t>Ризикот од концентрација на изложеноста е секоја поединечна изложеност или збир од</w:t>
            </w:r>
            <w:r w:rsidR="00C46D1D">
              <w:rPr>
                <w:rFonts w:asciiTheme="minorHAnsi" w:eastAsia="Helvetica-Oblique" w:hAnsiTheme="minorHAnsi" w:cstheme="minorHAnsi"/>
                <w:sz w:val="22"/>
                <w:szCs w:val="22"/>
                <w:lang w:val="mk-MK" w:eastAsia="mk-MK"/>
              </w:rPr>
              <w:t xml:space="preserve"> </w:t>
            </w:r>
            <w:r w:rsidRPr="004B4CD2">
              <w:rPr>
                <w:rFonts w:asciiTheme="minorHAnsi" w:eastAsia="Helvetica-Oblique" w:hAnsiTheme="minorHAnsi" w:cstheme="minorHAnsi"/>
                <w:sz w:val="22"/>
                <w:szCs w:val="22"/>
                <w:lang w:val="mk-MK" w:eastAsia="mk-MK"/>
              </w:rPr>
              <w:t>изложености што може да предизвикаат загуби по капиталот на Банката.</w:t>
            </w:r>
          </w:p>
          <w:p w14:paraId="3FEF48F1" w14:textId="77777777" w:rsidR="004B4CD2" w:rsidRPr="004B4CD2" w:rsidRDefault="004B4CD2" w:rsidP="00C46D1D">
            <w:pPr>
              <w:jc w:val="both"/>
              <w:rPr>
                <w:rFonts w:asciiTheme="minorHAnsi" w:eastAsia="Helvetica-Oblique" w:hAnsiTheme="minorHAnsi" w:cstheme="minorHAnsi"/>
                <w:lang w:val="mk-MK" w:eastAsia="mk-MK"/>
              </w:rPr>
            </w:pPr>
            <w:r w:rsidRPr="004B4CD2">
              <w:rPr>
                <w:rFonts w:asciiTheme="minorHAnsi" w:eastAsia="Helvetica-Oblique" w:hAnsiTheme="minorHAnsi" w:cstheme="minorHAnsi"/>
                <w:sz w:val="22"/>
                <w:szCs w:val="22"/>
                <w:lang w:val="mk-MK" w:eastAsia="mk-MK"/>
              </w:rPr>
              <w:t>Согласно својата стратегија за управување со ризици Банката се придржува кон регулаторните</w:t>
            </w:r>
            <w:r w:rsidR="00C46D1D">
              <w:rPr>
                <w:rFonts w:asciiTheme="minorHAnsi" w:eastAsia="Helvetica-Oblique" w:hAnsiTheme="minorHAnsi" w:cstheme="minorHAnsi"/>
                <w:sz w:val="22"/>
                <w:szCs w:val="22"/>
                <w:lang w:val="mk-MK" w:eastAsia="mk-MK"/>
              </w:rPr>
              <w:t xml:space="preserve"> </w:t>
            </w:r>
            <w:r w:rsidRPr="004B4CD2">
              <w:rPr>
                <w:rFonts w:asciiTheme="minorHAnsi" w:eastAsia="Helvetica-Oblique" w:hAnsiTheme="minorHAnsi" w:cstheme="minorHAnsi"/>
                <w:sz w:val="22"/>
                <w:szCs w:val="22"/>
                <w:lang w:val="mk-MK" w:eastAsia="mk-MK"/>
              </w:rPr>
              <w:t>лимити за изложеност.</w:t>
            </w:r>
          </w:p>
          <w:p w14:paraId="59CE2263" w14:textId="77777777" w:rsidR="004B4CD2" w:rsidRPr="004B4CD2" w:rsidRDefault="004B4CD2" w:rsidP="00C46D1D">
            <w:pPr>
              <w:jc w:val="both"/>
              <w:rPr>
                <w:rFonts w:asciiTheme="minorHAnsi" w:eastAsia="Helvetica-Oblique" w:hAnsiTheme="minorHAnsi" w:cstheme="minorHAnsi"/>
                <w:lang w:val="mk-MK" w:eastAsia="mk-MK"/>
              </w:rPr>
            </w:pPr>
            <w:r w:rsidRPr="004B4CD2">
              <w:rPr>
                <w:rFonts w:asciiTheme="minorHAnsi" w:eastAsia="Helvetica-Oblique" w:hAnsiTheme="minorHAnsi" w:cstheme="minorHAnsi"/>
                <w:sz w:val="22"/>
                <w:szCs w:val="22"/>
                <w:lang w:val="mk-MK" w:eastAsia="mk-MK"/>
              </w:rPr>
              <w:t>Банката има изработени процедури за идентификување, мерење, следење и контрола на ризикот</w:t>
            </w:r>
            <w:r w:rsidR="00C46D1D">
              <w:rPr>
                <w:rFonts w:asciiTheme="minorHAnsi" w:eastAsia="Helvetica-Oblique" w:hAnsiTheme="minorHAnsi" w:cstheme="minorHAnsi"/>
                <w:sz w:val="22"/>
                <w:szCs w:val="22"/>
                <w:lang w:val="mk-MK" w:eastAsia="mk-MK"/>
              </w:rPr>
              <w:t xml:space="preserve"> </w:t>
            </w:r>
            <w:r w:rsidRPr="004B4CD2">
              <w:rPr>
                <w:rFonts w:asciiTheme="minorHAnsi" w:eastAsia="Helvetica-Oblique" w:hAnsiTheme="minorHAnsi" w:cstheme="minorHAnsi"/>
                <w:sz w:val="22"/>
                <w:szCs w:val="22"/>
                <w:lang w:val="mk-MK" w:eastAsia="mk-MK"/>
              </w:rPr>
              <w:t>од концентрација на изложеноста.</w:t>
            </w:r>
          </w:p>
          <w:p w14:paraId="540A0BD3" w14:textId="77777777" w:rsidR="004B4CD2" w:rsidRPr="004B4CD2" w:rsidRDefault="004B4CD2" w:rsidP="00452CA1">
            <w:pPr>
              <w:jc w:val="both"/>
              <w:rPr>
                <w:rFonts w:asciiTheme="minorHAnsi" w:eastAsia="Helvetica-Oblique" w:hAnsiTheme="minorHAnsi" w:cstheme="minorHAnsi"/>
                <w:b/>
                <w:bCs/>
                <w:lang w:val="mk-MK" w:eastAsia="mk-MK"/>
              </w:rPr>
            </w:pPr>
          </w:p>
          <w:p w14:paraId="20749205" w14:textId="77777777" w:rsidR="004B4CD2" w:rsidRPr="004B4CD2" w:rsidRDefault="004B4CD2" w:rsidP="00452CA1">
            <w:pPr>
              <w:jc w:val="both"/>
              <w:rPr>
                <w:rFonts w:asciiTheme="minorHAnsi" w:eastAsia="Helvetica-Oblique" w:hAnsiTheme="minorHAnsi" w:cstheme="minorHAnsi"/>
                <w:lang w:val="mk-MK" w:eastAsia="mk-MK"/>
              </w:rPr>
            </w:pPr>
            <w:r w:rsidRPr="004B4CD2">
              <w:rPr>
                <w:rFonts w:asciiTheme="minorHAnsi" w:eastAsia="Helvetica-Oblique" w:hAnsiTheme="minorHAnsi" w:cstheme="minorHAnsi"/>
                <w:b/>
                <w:bCs/>
                <w:sz w:val="22"/>
                <w:szCs w:val="22"/>
                <w:lang w:val="mk-MK" w:eastAsia="mk-MK"/>
              </w:rPr>
              <w:t>Ликвидносен ризик</w:t>
            </w:r>
          </w:p>
          <w:p w14:paraId="331280AA" w14:textId="77777777" w:rsidR="00C46D1D" w:rsidRDefault="004B4CD2" w:rsidP="00C46D1D">
            <w:pPr>
              <w:jc w:val="both"/>
              <w:rPr>
                <w:rFonts w:asciiTheme="minorHAnsi" w:eastAsia="Helvetica-Oblique" w:hAnsiTheme="minorHAnsi" w:cstheme="minorHAnsi"/>
                <w:lang w:val="mk-MK" w:eastAsia="mk-MK"/>
              </w:rPr>
            </w:pPr>
            <w:r w:rsidRPr="004B4CD2">
              <w:rPr>
                <w:rFonts w:asciiTheme="minorHAnsi" w:eastAsia="Helvetica-Oblique" w:hAnsiTheme="minorHAnsi" w:cstheme="minorHAnsi"/>
                <w:sz w:val="22"/>
                <w:szCs w:val="22"/>
                <w:lang w:val="mk-MK" w:eastAsia="mk-MK"/>
              </w:rPr>
              <w:t>Ликвидносен ризик е ризикот по добивката или капиталот кој произлегува од неможноста на</w:t>
            </w:r>
            <w:r w:rsidR="00C46D1D">
              <w:rPr>
                <w:rFonts w:asciiTheme="minorHAnsi" w:eastAsia="Helvetica-Oblique" w:hAnsiTheme="minorHAnsi" w:cstheme="minorHAnsi"/>
                <w:sz w:val="22"/>
                <w:szCs w:val="22"/>
                <w:lang w:val="mk-MK" w:eastAsia="mk-MK"/>
              </w:rPr>
              <w:t xml:space="preserve"> </w:t>
            </w:r>
            <w:r w:rsidRPr="004B4CD2">
              <w:rPr>
                <w:rFonts w:asciiTheme="minorHAnsi" w:eastAsia="Helvetica-Oblique" w:hAnsiTheme="minorHAnsi" w:cstheme="minorHAnsi"/>
                <w:sz w:val="22"/>
                <w:szCs w:val="22"/>
                <w:lang w:val="mk-MK" w:eastAsia="mk-MK"/>
              </w:rPr>
              <w:t>Банката да ги исполни своите обврски кога тие ќе доспеат, без да се соочи со неприфатливи</w:t>
            </w:r>
            <w:r w:rsidR="00C46D1D">
              <w:rPr>
                <w:rFonts w:asciiTheme="minorHAnsi" w:eastAsia="Helvetica-Oblique" w:hAnsiTheme="minorHAnsi" w:cstheme="minorHAnsi"/>
                <w:sz w:val="22"/>
                <w:szCs w:val="22"/>
                <w:lang w:val="mk-MK" w:eastAsia="mk-MK"/>
              </w:rPr>
              <w:t xml:space="preserve"> </w:t>
            </w:r>
            <w:r w:rsidRPr="004B4CD2">
              <w:rPr>
                <w:rFonts w:asciiTheme="minorHAnsi" w:eastAsia="Helvetica-Oblique" w:hAnsiTheme="minorHAnsi" w:cstheme="minorHAnsi"/>
                <w:sz w:val="22"/>
                <w:szCs w:val="22"/>
                <w:lang w:val="mk-MK" w:eastAsia="mk-MK"/>
              </w:rPr>
              <w:t>загуби.</w:t>
            </w:r>
          </w:p>
          <w:p w14:paraId="67DED219" w14:textId="77777777" w:rsidR="00C46D1D" w:rsidRDefault="004B4CD2" w:rsidP="00C46D1D">
            <w:pPr>
              <w:jc w:val="both"/>
              <w:rPr>
                <w:rFonts w:asciiTheme="minorHAnsi" w:eastAsia="Helvetica-Oblique" w:hAnsiTheme="minorHAnsi" w:cstheme="minorHAnsi"/>
                <w:lang w:val="mk-MK" w:eastAsia="mk-MK"/>
              </w:rPr>
            </w:pPr>
            <w:r w:rsidRPr="004B4CD2">
              <w:rPr>
                <w:rFonts w:asciiTheme="minorHAnsi" w:eastAsia="Helvetica-Oblique" w:hAnsiTheme="minorHAnsi" w:cstheme="minorHAnsi"/>
                <w:sz w:val="22"/>
                <w:szCs w:val="22"/>
                <w:lang w:val="mk-MK" w:eastAsia="mk-MK"/>
              </w:rPr>
              <w:t>Ликвидносниот ризик ја вклучува неможноста од справување со непланирани</w:t>
            </w:r>
            <w:r w:rsidRPr="004B4CD2">
              <w:rPr>
                <w:rFonts w:asciiTheme="minorHAnsi" w:eastAsia="Helvetica-Oblique" w:hAnsiTheme="minorHAnsi" w:cstheme="minorHAnsi"/>
                <w:sz w:val="22"/>
                <w:szCs w:val="22"/>
                <w:lang w:val="mk-MK" w:eastAsia="mk-MK"/>
              </w:rPr>
              <w:br/>
              <w:t>намалувања или промени во изворите на финансирање во случај на сценарио на ликвидна криза.</w:t>
            </w:r>
            <w:r w:rsidR="00C46D1D">
              <w:rPr>
                <w:rFonts w:asciiTheme="minorHAnsi" w:eastAsia="Helvetica-Oblique" w:hAnsiTheme="minorHAnsi" w:cstheme="minorHAnsi"/>
                <w:sz w:val="22"/>
                <w:szCs w:val="22"/>
                <w:lang w:val="mk-MK" w:eastAsia="mk-MK"/>
              </w:rPr>
              <w:t xml:space="preserve"> </w:t>
            </w:r>
          </w:p>
          <w:p w14:paraId="6A2EE8D7" w14:textId="77777777" w:rsidR="004B4CD2" w:rsidRPr="004B4CD2" w:rsidRDefault="004B4CD2" w:rsidP="00C46D1D">
            <w:pPr>
              <w:jc w:val="both"/>
              <w:rPr>
                <w:rFonts w:asciiTheme="minorHAnsi" w:eastAsia="Helvetica-Oblique" w:hAnsiTheme="minorHAnsi" w:cstheme="minorHAnsi"/>
                <w:lang w:val="mk-MK" w:eastAsia="mk-MK"/>
              </w:rPr>
            </w:pPr>
            <w:r w:rsidRPr="004B4CD2">
              <w:rPr>
                <w:rFonts w:asciiTheme="minorHAnsi" w:eastAsia="Helvetica-Oblique" w:hAnsiTheme="minorHAnsi" w:cstheme="minorHAnsi"/>
                <w:sz w:val="22"/>
                <w:szCs w:val="22"/>
                <w:lang w:val="mk-MK" w:eastAsia="mk-MK"/>
              </w:rPr>
              <w:t>Ликвидносниот ризик исто така произлегува од неможноста на Банката да препознае или да се</w:t>
            </w:r>
            <w:r w:rsidR="00C46D1D">
              <w:rPr>
                <w:rFonts w:asciiTheme="minorHAnsi" w:eastAsia="Helvetica-Oblique" w:hAnsiTheme="minorHAnsi" w:cstheme="minorHAnsi"/>
                <w:sz w:val="22"/>
                <w:szCs w:val="22"/>
                <w:lang w:val="mk-MK" w:eastAsia="mk-MK"/>
              </w:rPr>
              <w:t xml:space="preserve"> </w:t>
            </w:r>
            <w:r w:rsidRPr="004B4CD2">
              <w:rPr>
                <w:rFonts w:asciiTheme="minorHAnsi" w:eastAsia="Helvetica-Oblique" w:hAnsiTheme="minorHAnsi" w:cstheme="minorHAnsi"/>
                <w:sz w:val="22"/>
                <w:szCs w:val="22"/>
                <w:lang w:val="mk-MK" w:eastAsia="mk-MK"/>
              </w:rPr>
              <w:t>посвети на промените на пазарните услови кои влијаат врз способноста за ликвидирање на</w:t>
            </w:r>
            <w:r w:rsidR="00C46D1D">
              <w:rPr>
                <w:rFonts w:asciiTheme="minorHAnsi" w:eastAsia="Helvetica-Oblique" w:hAnsiTheme="minorHAnsi" w:cstheme="minorHAnsi"/>
                <w:sz w:val="22"/>
                <w:szCs w:val="22"/>
                <w:lang w:val="mk-MK" w:eastAsia="mk-MK"/>
              </w:rPr>
              <w:t xml:space="preserve"> </w:t>
            </w:r>
            <w:r w:rsidRPr="004B4CD2">
              <w:rPr>
                <w:rFonts w:asciiTheme="minorHAnsi" w:eastAsia="Helvetica-Oblique" w:hAnsiTheme="minorHAnsi" w:cstheme="minorHAnsi"/>
                <w:sz w:val="22"/>
                <w:szCs w:val="22"/>
                <w:lang w:val="mk-MK" w:eastAsia="mk-MK"/>
              </w:rPr>
              <w:t>активата на краток рок и со минимални загуби во вредноста.</w:t>
            </w:r>
          </w:p>
          <w:p w14:paraId="24A75F31" w14:textId="77777777" w:rsidR="004B4CD2" w:rsidRPr="004B4CD2" w:rsidRDefault="004B4CD2" w:rsidP="00452CA1">
            <w:pPr>
              <w:jc w:val="both"/>
              <w:rPr>
                <w:rFonts w:asciiTheme="minorHAnsi" w:eastAsia="Helvetica-Oblique" w:hAnsiTheme="minorHAnsi" w:cstheme="minorHAnsi"/>
                <w:lang w:val="mk-MK" w:eastAsia="mk-MK"/>
              </w:rPr>
            </w:pPr>
          </w:p>
          <w:p w14:paraId="43FBA188" w14:textId="77777777" w:rsidR="004B4CD2" w:rsidRPr="004B4CD2" w:rsidRDefault="004B4CD2" w:rsidP="00452CA1">
            <w:pPr>
              <w:autoSpaceDE w:val="0"/>
              <w:autoSpaceDN w:val="0"/>
              <w:adjustRightInd w:val="0"/>
              <w:jc w:val="both"/>
              <w:rPr>
                <w:rFonts w:asciiTheme="minorHAnsi" w:eastAsia="Helvetica-BoldOblique" w:hAnsiTheme="minorHAnsi" w:cstheme="minorHAnsi"/>
                <w:lang w:val="mk-MK" w:eastAsia="mk-MK"/>
              </w:rPr>
            </w:pPr>
            <w:r w:rsidRPr="004B4CD2">
              <w:rPr>
                <w:rFonts w:asciiTheme="minorHAnsi" w:eastAsia="Helvetica-BoldOblique" w:hAnsiTheme="minorHAnsi" w:cstheme="minorHAnsi"/>
                <w:sz w:val="22"/>
                <w:szCs w:val="22"/>
                <w:lang w:val="mk-MK" w:eastAsia="mk-MK"/>
              </w:rPr>
              <w:t>Процесот на управувањето со ликвидносниот ризик ги опфаќа следните компоненти:</w:t>
            </w:r>
          </w:p>
          <w:p w14:paraId="2770CA3B" w14:textId="77777777" w:rsidR="004B4CD2" w:rsidRPr="004B4CD2" w:rsidRDefault="004B4CD2" w:rsidP="00452CA1">
            <w:pPr>
              <w:autoSpaceDE w:val="0"/>
              <w:autoSpaceDN w:val="0"/>
              <w:adjustRightInd w:val="0"/>
              <w:jc w:val="both"/>
              <w:rPr>
                <w:rFonts w:asciiTheme="minorHAnsi" w:eastAsia="Helvetica-BoldOblique" w:hAnsiTheme="minorHAnsi" w:cstheme="minorHAnsi"/>
                <w:bCs/>
                <w:iCs/>
                <w:lang w:val="mk-MK" w:eastAsia="mk-MK"/>
              </w:rPr>
            </w:pPr>
            <w:r w:rsidRPr="004B4CD2">
              <w:rPr>
                <w:rFonts w:asciiTheme="minorHAnsi" w:eastAsia="Helvetica-BoldOblique" w:hAnsiTheme="minorHAnsi" w:cstheme="minorHAnsi"/>
                <w:bCs/>
                <w:iCs/>
                <w:sz w:val="22"/>
                <w:szCs w:val="22"/>
                <w:lang w:val="mk-MK" w:eastAsia="mk-MK"/>
              </w:rPr>
              <w:t xml:space="preserve">- Планирање и управување со приливите </w:t>
            </w:r>
            <w:r w:rsidRPr="004B4CD2">
              <w:rPr>
                <w:rFonts w:asciiTheme="minorHAnsi" w:eastAsia="Helvetica-Oblique" w:hAnsiTheme="minorHAnsi" w:cstheme="minorHAnsi"/>
                <w:iCs/>
                <w:sz w:val="22"/>
                <w:szCs w:val="22"/>
                <w:lang w:val="mk-MK" w:eastAsia="mk-MK"/>
              </w:rPr>
              <w:t xml:space="preserve">и одливите на </w:t>
            </w:r>
            <w:r w:rsidRPr="004B4CD2">
              <w:rPr>
                <w:rFonts w:asciiTheme="minorHAnsi" w:eastAsia="Helvetica-BoldOblique" w:hAnsiTheme="minorHAnsi" w:cstheme="minorHAnsi"/>
                <w:bCs/>
                <w:iCs/>
                <w:sz w:val="22"/>
                <w:szCs w:val="22"/>
                <w:lang w:val="mk-MK" w:eastAsia="mk-MK"/>
              </w:rPr>
              <w:t>парични средства</w:t>
            </w:r>
          </w:p>
          <w:p w14:paraId="2D0AFB86" w14:textId="77777777" w:rsidR="004B4CD2" w:rsidRPr="004B4CD2" w:rsidRDefault="004B4CD2" w:rsidP="00452CA1">
            <w:pPr>
              <w:autoSpaceDE w:val="0"/>
              <w:autoSpaceDN w:val="0"/>
              <w:adjustRightInd w:val="0"/>
              <w:jc w:val="both"/>
              <w:rPr>
                <w:rFonts w:asciiTheme="minorHAnsi" w:eastAsia="Helvetica-BoldOblique" w:hAnsiTheme="minorHAnsi" w:cstheme="minorHAnsi"/>
                <w:bCs/>
                <w:iCs/>
                <w:lang w:val="mk-MK" w:eastAsia="mk-MK"/>
              </w:rPr>
            </w:pPr>
            <w:r w:rsidRPr="004B4CD2">
              <w:rPr>
                <w:rFonts w:asciiTheme="minorHAnsi" w:eastAsia="Helvetica-BoldOblique" w:hAnsiTheme="minorHAnsi" w:cstheme="minorHAnsi"/>
                <w:bCs/>
                <w:iCs/>
                <w:sz w:val="22"/>
                <w:szCs w:val="22"/>
                <w:lang w:val="mk-MK" w:eastAsia="mk-MK"/>
              </w:rPr>
              <w:t>- Дефинирање на финансиски инструменти за управување со ликвидносниот ризик</w:t>
            </w:r>
          </w:p>
          <w:p w14:paraId="195FFF1A" w14:textId="77777777" w:rsidR="004B4CD2" w:rsidRPr="004B4CD2" w:rsidRDefault="004B4CD2" w:rsidP="00452CA1">
            <w:pPr>
              <w:jc w:val="both"/>
              <w:rPr>
                <w:rFonts w:asciiTheme="minorHAnsi" w:hAnsiTheme="minorHAnsi" w:cstheme="minorHAnsi"/>
                <w:lang w:val="mk-MK"/>
              </w:rPr>
            </w:pPr>
            <w:r w:rsidRPr="004B4CD2">
              <w:rPr>
                <w:rFonts w:asciiTheme="minorHAnsi" w:eastAsia="Helvetica-Oblique" w:hAnsiTheme="minorHAnsi" w:cstheme="minorHAnsi"/>
                <w:sz w:val="22"/>
                <w:szCs w:val="22"/>
                <w:lang w:val="mk-MK" w:eastAsia="mk-MK"/>
              </w:rPr>
              <w:t>- Утврдување и следење на договорната преостаната рочна структура</w:t>
            </w:r>
          </w:p>
          <w:p w14:paraId="12CA3D7F" w14:textId="77777777" w:rsidR="004B4CD2" w:rsidRPr="004B4CD2" w:rsidRDefault="004B4CD2" w:rsidP="00452CA1">
            <w:pPr>
              <w:autoSpaceDE w:val="0"/>
              <w:autoSpaceDN w:val="0"/>
              <w:adjustRightInd w:val="0"/>
              <w:jc w:val="both"/>
              <w:rPr>
                <w:rFonts w:asciiTheme="minorHAnsi" w:eastAsia="Helvetica-Oblique" w:hAnsiTheme="minorHAnsi" w:cstheme="minorHAnsi"/>
                <w:lang w:val="mk-MK" w:eastAsia="mk-MK"/>
              </w:rPr>
            </w:pPr>
            <w:r w:rsidRPr="004B4CD2">
              <w:rPr>
                <w:rFonts w:asciiTheme="minorHAnsi" w:eastAsia="Helvetica-Oblique" w:hAnsiTheme="minorHAnsi" w:cstheme="minorHAnsi"/>
                <w:sz w:val="22"/>
                <w:szCs w:val="22"/>
                <w:lang w:val="mk-MK" w:eastAsia="mk-MK"/>
              </w:rPr>
              <w:t>- Утврдување и следење на очекуваната преостаната рочна структура</w:t>
            </w:r>
          </w:p>
          <w:p w14:paraId="73A5FBB0" w14:textId="77777777" w:rsidR="004B4CD2" w:rsidRPr="004B4CD2" w:rsidRDefault="004B4CD2" w:rsidP="00452CA1">
            <w:pPr>
              <w:autoSpaceDE w:val="0"/>
              <w:autoSpaceDN w:val="0"/>
              <w:adjustRightInd w:val="0"/>
              <w:jc w:val="both"/>
              <w:rPr>
                <w:rFonts w:asciiTheme="minorHAnsi" w:eastAsia="Helvetica-Oblique" w:hAnsiTheme="minorHAnsi" w:cstheme="minorHAnsi"/>
                <w:iCs/>
                <w:lang w:val="mk-MK" w:eastAsia="mk-MK"/>
              </w:rPr>
            </w:pPr>
            <w:r w:rsidRPr="004B4CD2">
              <w:rPr>
                <w:rFonts w:asciiTheme="minorHAnsi" w:eastAsia="Helvetica-Oblique" w:hAnsiTheme="minorHAnsi" w:cstheme="minorHAnsi"/>
                <w:iCs/>
                <w:sz w:val="22"/>
                <w:szCs w:val="22"/>
                <w:lang w:val="mk-MK" w:eastAsia="mk-MK"/>
              </w:rPr>
              <w:t>- Обезбедување диверзифицираност на прибраните депозити и другите извори на средства по рочност и по комитенти</w:t>
            </w:r>
          </w:p>
          <w:p w14:paraId="41B584E0" w14:textId="77777777" w:rsidR="004B4CD2" w:rsidRPr="004B4CD2" w:rsidRDefault="004B4CD2" w:rsidP="00452CA1">
            <w:pPr>
              <w:autoSpaceDE w:val="0"/>
              <w:autoSpaceDN w:val="0"/>
              <w:adjustRightInd w:val="0"/>
              <w:jc w:val="both"/>
              <w:rPr>
                <w:rFonts w:asciiTheme="minorHAnsi" w:eastAsia="Helvetica-Oblique" w:hAnsiTheme="minorHAnsi" w:cstheme="minorHAnsi"/>
                <w:iCs/>
                <w:lang w:val="mk-MK" w:eastAsia="mk-MK"/>
              </w:rPr>
            </w:pPr>
            <w:r w:rsidRPr="004B4CD2">
              <w:rPr>
                <w:rFonts w:asciiTheme="minorHAnsi" w:eastAsia="Helvetica-Oblique" w:hAnsiTheme="minorHAnsi" w:cstheme="minorHAnsi"/>
                <w:iCs/>
                <w:sz w:val="22"/>
                <w:szCs w:val="22"/>
                <w:lang w:val="mk-MK" w:eastAsia="mk-MK"/>
              </w:rPr>
              <w:t>- Идентификување и следење на депозитите од аспект на нивната стабилност</w:t>
            </w:r>
          </w:p>
          <w:p w14:paraId="6BB75B9D" w14:textId="77777777" w:rsidR="004B4CD2" w:rsidRPr="004B4CD2" w:rsidRDefault="004B4CD2" w:rsidP="00452CA1">
            <w:pPr>
              <w:autoSpaceDE w:val="0"/>
              <w:autoSpaceDN w:val="0"/>
              <w:adjustRightInd w:val="0"/>
              <w:jc w:val="both"/>
              <w:rPr>
                <w:rFonts w:asciiTheme="minorHAnsi" w:eastAsia="Helvetica-BoldOblique" w:hAnsiTheme="minorHAnsi" w:cstheme="minorHAnsi"/>
                <w:bCs/>
                <w:iCs/>
                <w:lang w:val="mk-MK" w:eastAsia="mk-MK"/>
              </w:rPr>
            </w:pPr>
            <w:r w:rsidRPr="004B4CD2">
              <w:rPr>
                <w:rFonts w:asciiTheme="minorHAnsi" w:eastAsia="Helvetica-BoldOblique" w:hAnsiTheme="minorHAnsi" w:cstheme="minorHAnsi"/>
                <w:bCs/>
                <w:iCs/>
                <w:sz w:val="22"/>
                <w:szCs w:val="22"/>
                <w:lang w:val="mk-MK" w:eastAsia="mk-MK"/>
              </w:rPr>
              <w:t>- Обезбедување на систем на следење на потенцијалните обврски по основ на вонбилансно работење на банката</w:t>
            </w:r>
          </w:p>
          <w:p w14:paraId="744298DB" w14:textId="77777777" w:rsidR="004B4CD2" w:rsidRPr="004B4CD2" w:rsidRDefault="004B4CD2" w:rsidP="00452CA1">
            <w:pPr>
              <w:jc w:val="both"/>
              <w:rPr>
                <w:rFonts w:asciiTheme="minorHAnsi" w:hAnsiTheme="minorHAnsi" w:cstheme="minorHAnsi"/>
                <w:lang w:val="mk-MK"/>
              </w:rPr>
            </w:pPr>
            <w:r w:rsidRPr="004B4CD2">
              <w:rPr>
                <w:rFonts w:asciiTheme="minorHAnsi" w:eastAsia="Helvetica-BoldOblique" w:hAnsiTheme="minorHAnsi" w:cstheme="minorHAnsi"/>
                <w:bCs/>
                <w:iCs/>
                <w:sz w:val="22"/>
                <w:szCs w:val="22"/>
                <w:lang w:val="mk-MK" w:eastAsia="mk-MK"/>
              </w:rPr>
              <w:t>- Утврдување на ликвидносни индикатори</w:t>
            </w:r>
          </w:p>
          <w:p w14:paraId="39EF0F75" w14:textId="77777777" w:rsidR="004B4CD2" w:rsidRPr="004B4CD2" w:rsidRDefault="004B4CD2" w:rsidP="00452CA1">
            <w:pPr>
              <w:autoSpaceDE w:val="0"/>
              <w:autoSpaceDN w:val="0"/>
              <w:adjustRightInd w:val="0"/>
              <w:jc w:val="both"/>
              <w:rPr>
                <w:rFonts w:asciiTheme="minorHAnsi" w:eastAsia="Helvetica-Oblique" w:hAnsiTheme="minorHAnsi" w:cstheme="minorHAnsi"/>
                <w:iCs/>
                <w:lang w:val="mk-MK" w:eastAsia="mk-MK"/>
              </w:rPr>
            </w:pPr>
            <w:r w:rsidRPr="004B4CD2">
              <w:rPr>
                <w:rFonts w:asciiTheme="minorHAnsi" w:eastAsia="Helvetica-Oblique" w:hAnsiTheme="minorHAnsi" w:cstheme="minorHAnsi"/>
                <w:iCs/>
                <w:sz w:val="22"/>
                <w:szCs w:val="22"/>
                <w:lang w:val="mk-MK" w:eastAsia="mk-MK"/>
              </w:rPr>
              <w:t>- Процедури за дефинирање на дозволени исклучоци во однос на дефинираните лимити за управување со ликвидносниот ризик и за делегирање на одговорност за одлучување за примена на тие исклучоци</w:t>
            </w:r>
          </w:p>
          <w:p w14:paraId="2330C5C3" w14:textId="77777777" w:rsidR="004B4CD2" w:rsidRPr="004B4CD2" w:rsidRDefault="004B4CD2" w:rsidP="00452CA1">
            <w:pPr>
              <w:autoSpaceDE w:val="0"/>
              <w:autoSpaceDN w:val="0"/>
              <w:adjustRightInd w:val="0"/>
              <w:jc w:val="both"/>
              <w:rPr>
                <w:rFonts w:asciiTheme="minorHAnsi" w:eastAsia="Helvetica-Oblique" w:hAnsiTheme="minorHAnsi" w:cstheme="minorHAnsi"/>
                <w:iCs/>
                <w:lang w:val="mk-MK" w:eastAsia="mk-MK"/>
              </w:rPr>
            </w:pPr>
            <w:r w:rsidRPr="004B4CD2">
              <w:rPr>
                <w:rFonts w:asciiTheme="minorHAnsi" w:eastAsia="Helvetica-Oblique" w:hAnsiTheme="minorHAnsi" w:cstheme="minorHAnsi"/>
                <w:iCs/>
                <w:sz w:val="22"/>
                <w:szCs w:val="22"/>
                <w:lang w:val="mk-MK" w:eastAsia="mk-MK"/>
              </w:rPr>
              <w:t>- Тестирање на ликвидноста преку изработка на стрес тестови</w:t>
            </w:r>
          </w:p>
          <w:p w14:paraId="211F7D8B" w14:textId="77777777" w:rsidR="004B4CD2" w:rsidRPr="004B4CD2" w:rsidRDefault="004B4CD2" w:rsidP="00452CA1">
            <w:pPr>
              <w:autoSpaceDE w:val="0"/>
              <w:autoSpaceDN w:val="0"/>
              <w:adjustRightInd w:val="0"/>
              <w:jc w:val="both"/>
              <w:rPr>
                <w:rFonts w:asciiTheme="minorHAnsi" w:eastAsia="Helvetica-Oblique" w:hAnsiTheme="minorHAnsi" w:cstheme="minorHAnsi"/>
                <w:iCs/>
                <w:lang w:val="mk-MK" w:eastAsia="mk-MK"/>
              </w:rPr>
            </w:pPr>
            <w:r w:rsidRPr="004B4CD2">
              <w:rPr>
                <w:rFonts w:asciiTheme="minorHAnsi" w:eastAsia="Helvetica-Oblique" w:hAnsiTheme="minorHAnsi" w:cstheme="minorHAnsi"/>
                <w:iCs/>
                <w:sz w:val="22"/>
                <w:szCs w:val="22"/>
                <w:lang w:val="mk-MK" w:eastAsia="mk-MK"/>
              </w:rPr>
              <w:t>- План за управување со ликвидносниот ризик во вонредни услови</w:t>
            </w:r>
          </w:p>
          <w:p w14:paraId="501FFDB6" w14:textId="77777777" w:rsidR="004B4CD2" w:rsidRPr="004B4CD2" w:rsidRDefault="004B4CD2" w:rsidP="00452CA1">
            <w:pPr>
              <w:autoSpaceDE w:val="0"/>
              <w:autoSpaceDN w:val="0"/>
              <w:adjustRightInd w:val="0"/>
              <w:jc w:val="both"/>
              <w:rPr>
                <w:rFonts w:asciiTheme="minorHAnsi" w:eastAsia="Helvetica-Oblique" w:hAnsiTheme="minorHAnsi" w:cstheme="minorHAnsi"/>
                <w:iCs/>
                <w:lang w:val="mk-MK" w:eastAsia="mk-MK"/>
              </w:rPr>
            </w:pPr>
            <w:r w:rsidRPr="004B4CD2">
              <w:rPr>
                <w:rFonts w:asciiTheme="minorHAnsi" w:eastAsia="Helvetica-Oblique" w:hAnsiTheme="minorHAnsi" w:cstheme="minorHAnsi"/>
                <w:iCs/>
                <w:sz w:val="22"/>
                <w:szCs w:val="22"/>
                <w:lang w:val="mk-MK" w:eastAsia="mk-MK"/>
              </w:rPr>
              <w:t>- Известување на органите на управување на Банката и превземање евентуални мерки за надминување на констатираните проблеми</w:t>
            </w:r>
          </w:p>
          <w:p w14:paraId="7654FC24" w14:textId="77777777" w:rsidR="004B4CD2" w:rsidRPr="004B4CD2" w:rsidRDefault="004B4CD2" w:rsidP="00452CA1">
            <w:pPr>
              <w:autoSpaceDE w:val="0"/>
              <w:autoSpaceDN w:val="0"/>
              <w:adjustRightInd w:val="0"/>
              <w:jc w:val="both"/>
              <w:rPr>
                <w:rFonts w:asciiTheme="minorHAnsi" w:eastAsia="Helvetica-BoldOblique" w:hAnsiTheme="minorHAnsi" w:cstheme="minorHAnsi"/>
                <w:bCs/>
                <w:iCs/>
                <w:lang w:val="mk-MK" w:eastAsia="mk-MK"/>
              </w:rPr>
            </w:pPr>
            <w:r w:rsidRPr="004B4CD2">
              <w:rPr>
                <w:rFonts w:asciiTheme="minorHAnsi" w:eastAsia="Helvetica-BoldOblique" w:hAnsiTheme="minorHAnsi" w:cstheme="minorHAnsi"/>
                <w:bCs/>
                <w:iCs/>
                <w:sz w:val="22"/>
                <w:szCs w:val="22"/>
                <w:lang w:val="mk-MK" w:eastAsia="mk-MK"/>
              </w:rPr>
              <w:t>- Дефинирање на надлежностите и одговорностите на органите на управување и раководење со ликвидносниот ризик</w:t>
            </w:r>
          </w:p>
          <w:p w14:paraId="3559E6CB" w14:textId="77777777" w:rsidR="004B4CD2" w:rsidRPr="004B4CD2" w:rsidRDefault="004B4CD2" w:rsidP="00452CA1">
            <w:pPr>
              <w:jc w:val="both"/>
              <w:rPr>
                <w:rFonts w:asciiTheme="minorHAnsi" w:hAnsiTheme="minorHAnsi" w:cstheme="minorHAnsi"/>
                <w:lang w:val="ru-RU"/>
              </w:rPr>
            </w:pPr>
          </w:p>
          <w:p w14:paraId="54F7BB02" w14:textId="77777777" w:rsidR="004B4CD2" w:rsidRPr="004B4CD2" w:rsidRDefault="004B4CD2" w:rsidP="00452CA1">
            <w:pPr>
              <w:jc w:val="both"/>
              <w:rPr>
                <w:rFonts w:asciiTheme="minorHAnsi" w:hAnsiTheme="minorHAnsi" w:cstheme="minorHAnsi"/>
                <w:b/>
                <w:lang w:val="mk-MK"/>
              </w:rPr>
            </w:pPr>
            <w:r w:rsidRPr="004B4CD2">
              <w:rPr>
                <w:rFonts w:asciiTheme="minorHAnsi" w:hAnsiTheme="minorHAnsi" w:cstheme="minorHAnsi"/>
                <w:b/>
                <w:sz w:val="22"/>
                <w:szCs w:val="22"/>
                <w:lang w:val="mk-MK"/>
              </w:rPr>
              <w:t>Пазарни ризици (ценовниот ризик, девизен ризик, ризик од промена на каматна стапка)</w:t>
            </w:r>
          </w:p>
          <w:p w14:paraId="3ECE1D95" w14:textId="77777777" w:rsidR="004B4CD2" w:rsidRPr="004B4CD2" w:rsidRDefault="004B4CD2" w:rsidP="00452CA1">
            <w:pPr>
              <w:jc w:val="both"/>
              <w:rPr>
                <w:rFonts w:asciiTheme="minorHAnsi" w:hAnsiTheme="minorHAnsi" w:cstheme="minorHAnsi"/>
                <w:lang w:val="mk-MK"/>
              </w:rPr>
            </w:pPr>
            <w:r w:rsidRPr="004B4CD2">
              <w:rPr>
                <w:rFonts w:asciiTheme="minorHAnsi" w:hAnsiTheme="minorHAnsi" w:cstheme="minorHAnsi"/>
                <w:sz w:val="22"/>
                <w:szCs w:val="22"/>
                <w:lang w:val="mk-MK"/>
              </w:rPr>
              <w:t xml:space="preserve">Пазарниот ризик ги опфаќа ризикот од промена на каматните стапки, ризикот од промена на девизните курсеви и ценовниот ризик. </w:t>
            </w:r>
          </w:p>
          <w:p w14:paraId="0451BF84" w14:textId="77777777" w:rsidR="004B4CD2" w:rsidRPr="004B4CD2" w:rsidRDefault="004B4CD2" w:rsidP="00452CA1">
            <w:pPr>
              <w:jc w:val="both"/>
              <w:rPr>
                <w:rFonts w:asciiTheme="minorHAnsi" w:hAnsiTheme="minorHAnsi" w:cstheme="minorHAnsi"/>
                <w:lang w:val="mk-MK"/>
              </w:rPr>
            </w:pPr>
            <w:r w:rsidRPr="004B4CD2">
              <w:rPr>
                <w:rFonts w:asciiTheme="minorHAnsi" w:hAnsiTheme="minorHAnsi" w:cstheme="minorHAnsi"/>
                <w:sz w:val="22"/>
                <w:szCs w:val="22"/>
                <w:lang w:val="mk-MK"/>
              </w:rPr>
              <w:t>Банката ги одржува пазарните ризици во рамките на лимитите и во согласност со апетитот за ризик на Силк Роуд Банка. Системот на лимити на Силк Роуд Банка се состои од следниве елементи:</w:t>
            </w:r>
          </w:p>
          <w:p w14:paraId="4F2CCB06" w14:textId="77777777" w:rsidR="004B4CD2" w:rsidRPr="004B4CD2" w:rsidRDefault="004B4CD2" w:rsidP="00452CA1">
            <w:pPr>
              <w:pStyle w:val="ListParagraph"/>
              <w:numPr>
                <w:ilvl w:val="0"/>
                <w:numId w:val="8"/>
              </w:numPr>
              <w:jc w:val="both"/>
              <w:rPr>
                <w:rFonts w:asciiTheme="minorHAnsi" w:hAnsiTheme="minorHAnsi" w:cstheme="minorHAnsi"/>
                <w:lang w:val="mk-MK"/>
              </w:rPr>
            </w:pPr>
            <w:r w:rsidRPr="004B4CD2">
              <w:rPr>
                <w:rFonts w:asciiTheme="minorHAnsi" w:hAnsiTheme="minorHAnsi" w:cstheme="minorHAnsi"/>
                <w:sz w:val="22"/>
                <w:szCs w:val="22"/>
                <w:lang w:val="mk-MK"/>
              </w:rPr>
              <w:t>Категории на лимит: специфични лимити се дефинирани за да се управува пазарниот ризик на разни организациски нивоа</w:t>
            </w:r>
          </w:p>
          <w:p w14:paraId="04757522" w14:textId="77777777" w:rsidR="004B4CD2" w:rsidRPr="004B4CD2" w:rsidRDefault="004B4CD2" w:rsidP="00452CA1">
            <w:pPr>
              <w:pStyle w:val="ListParagraph"/>
              <w:numPr>
                <w:ilvl w:val="0"/>
                <w:numId w:val="8"/>
              </w:numPr>
              <w:jc w:val="both"/>
              <w:rPr>
                <w:rFonts w:asciiTheme="minorHAnsi" w:hAnsiTheme="minorHAnsi" w:cstheme="minorHAnsi"/>
                <w:lang w:val="mk-MK"/>
              </w:rPr>
            </w:pPr>
            <w:r w:rsidRPr="004B4CD2">
              <w:rPr>
                <w:rFonts w:asciiTheme="minorHAnsi" w:hAnsiTheme="minorHAnsi" w:cstheme="minorHAnsi"/>
                <w:sz w:val="22"/>
                <w:szCs w:val="22"/>
                <w:lang w:val="mk-MK"/>
              </w:rPr>
              <w:t xml:space="preserve">Пристап на поставување лимити: ќе се земаат предвид лимитите на обем и лимитите за сопирање на загуба </w:t>
            </w:r>
          </w:p>
          <w:p w14:paraId="291B4590" w14:textId="77777777" w:rsidR="004B4CD2" w:rsidRPr="004B4CD2" w:rsidRDefault="004B4CD2" w:rsidP="00452CA1">
            <w:pPr>
              <w:pStyle w:val="ListParagraph"/>
              <w:numPr>
                <w:ilvl w:val="0"/>
                <w:numId w:val="8"/>
              </w:numPr>
              <w:jc w:val="both"/>
              <w:rPr>
                <w:rFonts w:asciiTheme="minorHAnsi" w:hAnsiTheme="minorHAnsi" w:cstheme="minorHAnsi"/>
                <w:lang w:val="mk-MK"/>
              </w:rPr>
            </w:pPr>
            <w:r w:rsidRPr="004B4CD2">
              <w:rPr>
                <w:rFonts w:asciiTheme="minorHAnsi" w:hAnsiTheme="minorHAnsi" w:cstheme="minorHAnsi"/>
                <w:sz w:val="22"/>
                <w:szCs w:val="22"/>
                <w:lang w:val="mk-MK"/>
              </w:rPr>
              <w:lastRenderedPageBreak/>
              <w:t>Мониторинг и усогласеност со утврдените лимити: воведен е процес на мониторинг на лимити, со цел да се овозможи тековна усогласеност и преземање на соодветни мерки.</w:t>
            </w:r>
          </w:p>
          <w:p w14:paraId="16485F3C" w14:textId="77777777" w:rsidR="004B4CD2" w:rsidRPr="004B4CD2" w:rsidRDefault="004B4CD2" w:rsidP="00452CA1">
            <w:pPr>
              <w:jc w:val="both"/>
              <w:rPr>
                <w:rFonts w:asciiTheme="minorHAnsi" w:hAnsiTheme="minorHAnsi" w:cstheme="minorHAnsi"/>
                <w:b/>
                <w:lang w:val="mk-MK"/>
              </w:rPr>
            </w:pPr>
          </w:p>
          <w:p w14:paraId="717A43EE" w14:textId="77777777" w:rsidR="004B4CD2" w:rsidRPr="004B4CD2" w:rsidRDefault="004B4CD2" w:rsidP="00452CA1">
            <w:pPr>
              <w:jc w:val="both"/>
              <w:rPr>
                <w:rFonts w:asciiTheme="minorHAnsi" w:hAnsiTheme="minorHAnsi" w:cstheme="minorHAnsi"/>
                <w:lang w:val="mk-MK"/>
              </w:rPr>
            </w:pPr>
            <w:r w:rsidRPr="004B4CD2">
              <w:rPr>
                <w:rFonts w:asciiTheme="minorHAnsi" w:hAnsiTheme="minorHAnsi" w:cstheme="minorHAnsi"/>
                <w:b/>
                <w:sz w:val="22"/>
                <w:szCs w:val="22"/>
                <w:lang w:val="mk-MK"/>
              </w:rPr>
              <w:t>Ризик од промена на каматните стапки</w:t>
            </w:r>
          </w:p>
          <w:p w14:paraId="7A8CF812" w14:textId="77777777" w:rsidR="004B4CD2" w:rsidRPr="004B4CD2" w:rsidRDefault="004B4CD2" w:rsidP="00452CA1">
            <w:pPr>
              <w:jc w:val="both"/>
              <w:rPr>
                <w:rFonts w:asciiTheme="minorHAnsi" w:hAnsiTheme="minorHAnsi" w:cstheme="minorHAnsi"/>
                <w:lang w:val="mk-MK"/>
              </w:rPr>
            </w:pPr>
            <w:r w:rsidRPr="004B4CD2">
              <w:rPr>
                <w:rFonts w:asciiTheme="minorHAnsi" w:hAnsiTheme="minorHAnsi" w:cstheme="minorHAnsi"/>
                <w:sz w:val="22"/>
                <w:szCs w:val="22"/>
                <w:lang w:val="mk-MK"/>
              </w:rPr>
              <w:t>Ризикот од промена на каматните стапки</w:t>
            </w:r>
            <w:r w:rsidRPr="004B4CD2">
              <w:rPr>
                <w:rFonts w:asciiTheme="minorHAnsi" w:hAnsiTheme="minorHAnsi" w:cstheme="minorHAnsi"/>
                <w:b/>
                <w:sz w:val="22"/>
                <w:szCs w:val="22"/>
                <w:lang w:val="mk-MK"/>
              </w:rPr>
              <w:t xml:space="preserve"> </w:t>
            </w:r>
            <w:r w:rsidRPr="004B4CD2">
              <w:rPr>
                <w:rFonts w:asciiTheme="minorHAnsi" w:hAnsiTheme="minorHAnsi" w:cstheme="minorHAnsi"/>
                <w:sz w:val="22"/>
                <w:szCs w:val="22"/>
                <w:lang w:val="mk-MK"/>
              </w:rPr>
              <w:t xml:space="preserve">претставува тековен или иден ризик за профитот и капиталот што произлегува од неповолните промени на каматните стапки. Ризикот влијае врз профитот на Банката и економската вредност на инструментите на активата, пасивата и вонбилансните инструменти. Главните типови на ризици од промена на каматни стапки на кои е изложена Банката се следниве: (1) </w:t>
            </w:r>
            <w:r w:rsidRPr="004B4CD2">
              <w:rPr>
                <w:rFonts w:asciiTheme="minorHAnsi" w:hAnsiTheme="minorHAnsi" w:cstheme="minorHAnsi"/>
                <w:i/>
                <w:sz w:val="22"/>
                <w:szCs w:val="22"/>
                <w:lang w:val="mk-MK"/>
              </w:rPr>
              <w:t xml:space="preserve">ризик од повторно оценување, </w:t>
            </w:r>
            <w:r w:rsidRPr="004B4CD2">
              <w:rPr>
                <w:rFonts w:asciiTheme="minorHAnsi" w:hAnsiTheme="minorHAnsi" w:cstheme="minorHAnsi"/>
                <w:sz w:val="22"/>
                <w:szCs w:val="22"/>
                <w:lang w:val="mk-MK"/>
              </w:rPr>
              <w:t xml:space="preserve">кој произлегува од временските разлики во рочноста (за фиксни стапки) и повторно оценување (за променливи стапки) на позициите од активата, пасивата и вонбилансните позиции; (2) </w:t>
            </w:r>
            <w:r w:rsidRPr="004B4CD2">
              <w:rPr>
                <w:rFonts w:asciiTheme="minorHAnsi" w:hAnsiTheme="minorHAnsi" w:cstheme="minorHAnsi"/>
                <w:i/>
                <w:sz w:val="22"/>
                <w:szCs w:val="22"/>
                <w:lang w:val="mk-MK"/>
              </w:rPr>
              <w:t xml:space="preserve">ризик од крива на принос, </w:t>
            </w:r>
            <w:r w:rsidRPr="004B4CD2">
              <w:rPr>
                <w:rFonts w:asciiTheme="minorHAnsi" w:hAnsiTheme="minorHAnsi" w:cstheme="minorHAnsi"/>
                <w:sz w:val="22"/>
                <w:szCs w:val="22"/>
                <w:lang w:val="mk-MK"/>
              </w:rPr>
              <w:t xml:space="preserve">кој произлегува од промените во нагибот и формата на кривата на принос; </w:t>
            </w:r>
            <w:r w:rsidRPr="004B4CD2">
              <w:rPr>
                <w:rFonts w:asciiTheme="minorHAnsi" w:hAnsiTheme="minorHAnsi" w:cstheme="minorHAnsi"/>
                <w:i/>
                <w:sz w:val="22"/>
                <w:szCs w:val="22"/>
                <w:lang w:val="mk-MK"/>
              </w:rPr>
              <w:t xml:space="preserve">(3) </w:t>
            </w:r>
            <w:r w:rsidRPr="004B4CD2">
              <w:rPr>
                <w:rFonts w:asciiTheme="minorHAnsi" w:hAnsiTheme="minorHAnsi" w:cstheme="minorHAnsi"/>
                <w:sz w:val="22"/>
                <w:szCs w:val="22"/>
                <w:lang w:val="mk-MK"/>
              </w:rPr>
              <w:t xml:space="preserve">Ризик од разлики во висината на референтните каматни стапки на инструменти со слични карактеристики; и </w:t>
            </w:r>
            <w:r w:rsidRPr="004B4CD2">
              <w:rPr>
                <w:rFonts w:asciiTheme="minorHAnsi" w:hAnsiTheme="minorHAnsi" w:cstheme="minorHAnsi"/>
                <w:i/>
                <w:sz w:val="22"/>
                <w:szCs w:val="22"/>
                <w:lang w:val="mk-MK"/>
              </w:rPr>
              <w:t xml:space="preserve">(4) ризик </w:t>
            </w:r>
            <w:r w:rsidRPr="004B4CD2">
              <w:rPr>
                <w:rFonts w:asciiTheme="minorHAnsi" w:hAnsiTheme="minorHAnsi" w:cstheme="minorHAnsi"/>
                <w:sz w:val="22"/>
                <w:szCs w:val="22"/>
                <w:lang w:val="mk-MK"/>
              </w:rPr>
              <w:t>кој произлегува од опциите вградени во каматночувствителните позиции.</w:t>
            </w:r>
          </w:p>
          <w:p w14:paraId="0D15B910" w14:textId="77777777" w:rsidR="004B4CD2" w:rsidRPr="004B4CD2" w:rsidRDefault="004B4CD2" w:rsidP="00452CA1">
            <w:pPr>
              <w:jc w:val="both"/>
              <w:rPr>
                <w:rFonts w:asciiTheme="minorHAnsi" w:hAnsiTheme="minorHAnsi" w:cstheme="minorHAnsi"/>
                <w:b/>
                <w:bCs/>
                <w:lang w:val="mk-MK"/>
              </w:rPr>
            </w:pPr>
          </w:p>
          <w:p w14:paraId="15694B4B" w14:textId="77777777" w:rsidR="004B4CD2" w:rsidRPr="004B4CD2" w:rsidRDefault="004B4CD2" w:rsidP="00452CA1">
            <w:pPr>
              <w:jc w:val="both"/>
              <w:rPr>
                <w:rFonts w:asciiTheme="minorHAnsi" w:hAnsiTheme="minorHAnsi" w:cstheme="minorHAnsi"/>
                <w:lang w:val="mk-MK"/>
              </w:rPr>
            </w:pPr>
            <w:r w:rsidRPr="004B4CD2">
              <w:rPr>
                <w:rFonts w:asciiTheme="minorHAnsi" w:hAnsiTheme="minorHAnsi" w:cstheme="minorHAnsi"/>
                <w:sz w:val="22"/>
                <w:szCs w:val="22"/>
                <w:lang w:val="mk-MK"/>
              </w:rPr>
              <w:t>Ефективното следење на ризикот од промена на каматните стапки на Банката од страна на Надзорниот одбор и повисокиот менаџмент претставува темел на процесот на ефективно управување со ризиците. Надзорниот одбор и повисокиот менаџмент се одговорни за природата и нивото на ризикот од промена на каматните стапки што го презема Банката и како тој ризик се вклопува во вкупната деловна стратегија на Банката, како и механизмите што се користат за управување со тие ризици.</w:t>
            </w:r>
          </w:p>
          <w:p w14:paraId="037A43BB" w14:textId="77777777" w:rsidR="004B4CD2" w:rsidRPr="004B4CD2" w:rsidRDefault="004B4CD2" w:rsidP="00452CA1">
            <w:pPr>
              <w:jc w:val="both"/>
              <w:rPr>
                <w:rFonts w:asciiTheme="minorHAnsi" w:hAnsiTheme="minorHAnsi" w:cstheme="minorHAnsi"/>
                <w:lang w:val="mk-MK"/>
              </w:rPr>
            </w:pPr>
            <w:r w:rsidRPr="004B4CD2">
              <w:rPr>
                <w:rFonts w:asciiTheme="minorHAnsi" w:hAnsiTheme="minorHAnsi" w:cstheme="minorHAnsi"/>
                <w:sz w:val="22"/>
                <w:szCs w:val="22"/>
                <w:lang w:val="mk-MK"/>
              </w:rPr>
              <w:t>Процеси за управување со ризикот од промена на каматните стапки се следните:</w:t>
            </w:r>
          </w:p>
          <w:p w14:paraId="04851B5A" w14:textId="77777777" w:rsidR="004B4CD2" w:rsidRPr="004B4CD2" w:rsidRDefault="004B4CD2" w:rsidP="00452CA1">
            <w:pPr>
              <w:pStyle w:val="ListParagraph"/>
              <w:numPr>
                <w:ilvl w:val="0"/>
                <w:numId w:val="8"/>
              </w:numPr>
              <w:jc w:val="both"/>
              <w:rPr>
                <w:rFonts w:asciiTheme="minorHAnsi" w:hAnsiTheme="minorHAnsi" w:cstheme="minorHAnsi"/>
                <w:lang w:val="mk-MK"/>
              </w:rPr>
            </w:pPr>
            <w:r w:rsidRPr="004B4CD2">
              <w:rPr>
                <w:rFonts w:asciiTheme="minorHAnsi" w:hAnsiTheme="minorHAnsi" w:cstheme="minorHAnsi"/>
                <w:sz w:val="22"/>
                <w:szCs w:val="22"/>
                <w:lang w:val="mk-MK"/>
              </w:rPr>
              <w:t>идентификување на ризикот од промена на каматни стапки</w:t>
            </w:r>
          </w:p>
          <w:p w14:paraId="01770AF0" w14:textId="77777777" w:rsidR="004B4CD2" w:rsidRPr="004B4CD2" w:rsidRDefault="004B4CD2" w:rsidP="00452CA1">
            <w:pPr>
              <w:pStyle w:val="ListParagraph"/>
              <w:numPr>
                <w:ilvl w:val="0"/>
                <w:numId w:val="8"/>
              </w:numPr>
              <w:jc w:val="both"/>
              <w:rPr>
                <w:rFonts w:asciiTheme="minorHAnsi" w:hAnsiTheme="minorHAnsi" w:cstheme="minorHAnsi"/>
                <w:lang w:val="mk-MK"/>
              </w:rPr>
            </w:pPr>
            <w:r w:rsidRPr="004B4CD2">
              <w:rPr>
                <w:rFonts w:asciiTheme="minorHAnsi" w:hAnsiTheme="minorHAnsi" w:cstheme="minorHAnsi"/>
                <w:sz w:val="22"/>
                <w:szCs w:val="22"/>
                <w:lang w:val="mk-MK"/>
              </w:rPr>
              <w:t>мерење на ризикот од промена на каматни стапки</w:t>
            </w:r>
          </w:p>
          <w:p w14:paraId="4EEB585A" w14:textId="77777777" w:rsidR="004B4CD2" w:rsidRPr="004B4CD2" w:rsidRDefault="004B4CD2" w:rsidP="00452CA1">
            <w:pPr>
              <w:pStyle w:val="ListParagraph"/>
              <w:numPr>
                <w:ilvl w:val="0"/>
                <w:numId w:val="8"/>
              </w:numPr>
              <w:jc w:val="both"/>
              <w:rPr>
                <w:rFonts w:asciiTheme="minorHAnsi" w:hAnsiTheme="minorHAnsi" w:cstheme="minorHAnsi"/>
                <w:lang w:val="en-US"/>
              </w:rPr>
            </w:pPr>
            <w:r w:rsidRPr="004B4CD2">
              <w:rPr>
                <w:rFonts w:asciiTheme="minorHAnsi" w:hAnsiTheme="minorHAnsi" w:cstheme="minorHAnsi"/>
                <w:sz w:val="22"/>
                <w:szCs w:val="22"/>
                <w:lang w:val="mk-MK"/>
              </w:rPr>
              <w:t>следење на ризикот од промена на каматни стапки</w:t>
            </w:r>
          </w:p>
          <w:p w14:paraId="35A95342" w14:textId="77777777" w:rsidR="004B4CD2" w:rsidRPr="004B4CD2" w:rsidRDefault="004B4CD2" w:rsidP="00452CA1">
            <w:pPr>
              <w:jc w:val="both"/>
              <w:rPr>
                <w:rFonts w:asciiTheme="minorHAnsi" w:hAnsiTheme="minorHAnsi" w:cstheme="minorHAnsi"/>
                <w:lang w:val="en-US"/>
              </w:rPr>
            </w:pPr>
          </w:p>
          <w:p w14:paraId="3BEBD2C2" w14:textId="77777777" w:rsidR="004B4CD2" w:rsidRPr="004B4CD2" w:rsidRDefault="004B4CD2" w:rsidP="00452CA1">
            <w:pPr>
              <w:jc w:val="both"/>
              <w:rPr>
                <w:rFonts w:asciiTheme="minorHAnsi" w:hAnsiTheme="minorHAnsi" w:cstheme="minorHAnsi"/>
                <w:lang w:val="en-US"/>
              </w:rPr>
            </w:pPr>
            <w:r w:rsidRPr="004B4CD2">
              <w:rPr>
                <w:rFonts w:asciiTheme="minorHAnsi" w:hAnsiTheme="minorHAnsi" w:cstheme="minorHAnsi"/>
                <w:b/>
                <w:sz w:val="22"/>
                <w:szCs w:val="22"/>
                <w:lang w:val="mk-MK"/>
              </w:rPr>
              <w:t>Ризик од промена на девизните курсеви</w:t>
            </w:r>
            <w:r w:rsidRPr="004B4CD2">
              <w:rPr>
                <w:rFonts w:asciiTheme="minorHAnsi" w:hAnsiTheme="minorHAnsi" w:cstheme="minorHAnsi"/>
                <w:sz w:val="22"/>
                <w:szCs w:val="22"/>
                <w:lang w:val="en-US"/>
              </w:rPr>
              <w:t xml:space="preserve"> </w:t>
            </w:r>
          </w:p>
          <w:p w14:paraId="610136C3" w14:textId="77777777" w:rsidR="004B4CD2" w:rsidRPr="004B4CD2" w:rsidRDefault="004B4CD2" w:rsidP="00452CA1">
            <w:pPr>
              <w:jc w:val="both"/>
              <w:rPr>
                <w:rFonts w:asciiTheme="minorHAnsi" w:hAnsiTheme="minorHAnsi" w:cstheme="minorHAnsi"/>
                <w:b/>
                <w:lang w:val="mk-MK"/>
              </w:rPr>
            </w:pPr>
            <w:r w:rsidRPr="004B4CD2">
              <w:rPr>
                <w:rFonts w:asciiTheme="minorHAnsi" w:hAnsiTheme="minorHAnsi" w:cstheme="minorHAnsi"/>
                <w:sz w:val="22"/>
                <w:szCs w:val="22"/>
                <w:lang w:val="mk-MK"/>
              </w:rPr>
              <w:t>Ризикот од промена на девизните курсеви</w:t>
            </w:r>
            <w:r w:rsidRPr="004B4CD2">
              <w:rPr>
                <w:rFonts w:asciiTheme="minorHAnsi" w:hAnsiTheme="minorHAnsi" w:cstheme="minorHAnsi"/>
                <w:sz w:val="22"/>
                <w:szCs w:val="22"/>
                <w:lang w:val="en-US"/>
              </w:rPr>
              <w:t xml:space="preserve"> </w:t>
            </w:r>
            <w:r w:rsidRPr="004B4CD2">
              <w:rPr>
                <w:rFonts w:asciiTheme="minorHAnsi" w:hAnsiTheme="minorHAnsi" w:cstheme="minorHAnsi"/>
                <w:sz w:val="22"/>
                <w:szCs w:val="22"/>
                <w:lang w:val="mk-MK"/>
              </w:rPr>
              <w:t>е ризикот по добивката или капиталот кој произлегува од неповолни движења на девизните курсеви.</w:t>
            </w:r>
          </w:p>
          <w:p w14:paraId="069ED253" w14:textId="77777777" w:rsidR="004B4CD2" w:rsidRPr="004B4CD2" w:rsidRDefault="004B4CD2" w:rsidP="00452CA1">
            <w:pPr>
              <w:jc w:val="both"/>
              <w:rPr>
                <w:rFonts w:asciiTheme="minorHAnsi" w:hAnsiTheme="minorHAnsi" w:cstheme="minorHAnsi"/>
                <w:lang w:val="ru-RU"/>
              </w:rPr>
            </w:pPr>
          </w:p>
          <w:p w14:paraId="15F77AD1" w14:textId="77777777" w:rsidR="004B4CD2" w:rsidRPr="004B4CD2" w:rsidRDefault="004B4CD2" w:rsidP="00452CA1">
            <w:pPr>
              <w:jc w:val="both"/>
              <w:rPr>
                <w:rFonts w:asciiTheme="minorHAnsi" w:hAnsiTheme="minorHAnsi" w:cstheme="minorHAnsi"/>
                <w:lang w:val="mk-MK"/>
              </w:rPr>
            </w:pPr>
            <w:r w:rsidRPr="004B4CD2">
              <w:rPr>
                <w:rFonts w:asciiTheme="minorHAnsi" w:hAnsiTheme="minorHAnsi" w:cstheme="minorHAnsi"/>
                <w:sz w:val="22"/>
                <w:szCs w:val="22"/>
                <w:lang w:val="mk-MK"/>
              </w:rPr>
              <w:t>Процеси за управување со ризикот од промена на девизните курсеви се следните:</w:t>
            </w:r>
          </w:p>
          <w:p w14:paraId="522F7466" w14:textId="77777777" w:rsidR="004B4CD2" w:rsidRPr="004B4CD2" w:rsidRDefault="004B4CD2" w:rsidP="00452CA1">
            <w:pPr>
              <w:numPr>
                <w:ilvl w:val="0"/>
                <w:numId w:val="9"/>
              </w:numPr>
              <w:jc w:val="both"/>
              <w:rPr>
                <w:rFonts w:asciiTheme="minorHAnsi" w:hAnsiTheme="minorHAnsi" w:cstheme="minorHAnsi"/>
                <w:lang w:val="mk-MK"/>
              </w:rPr>
            </w:pPr>
            <w:r w:rsidRPr="004B4CD2">
              <w:rPr>
                <w:rFonts w:asciiTheme="minorHAnsi" w:hAnsiTheme="minorHAnsi" w:cstheme="minorHAnsi"/>
                <w:sz w:val="22"/>
                <w:szCs w:val="22"/>
                <w:lang w:val="mk-MK"/>
              </w:rPr>
              <w:t>идентификување на ризикот од промена на девизните курсеви</w:t>
            </w:r>
          </w:p>
          <w:p w14:paraId="01914A0B" w14:textId="77777777" w:rsidR="004B4CD2" w:rsidRPr="004B4CD2" w:rsidRDefault="004B4CD2" w:rsidP="00452CA1">
            <w:pPr>
              <w:numPr>
                <w:ilvl w:val="0"/>
                <w:numId w:val="9"/>
              </w:numPr>
              <w:jc w:val="both"/>
              <w:rPr>
                <w:rFonts w:asciiTheme="minorHAnsi" w:hAnsiTheme="minorHAnsi" w:cstheme="minorHAnsi"/>
                <w:lang w:val="mk-MK"/>
              </w:rPr>
            </w:pPr>
            <w:r w:rsidRPr="004B4CD2">
              <w:rPr>
                <w:rFonts w:asciiTheme="minorHAnsi" w:hAnsiTheme="minorHAnsi" w:cstheme="minorHAnsi"/>
                <w:sz w:val="22"/>
                <w:szCs w:val="22"/>
                <w:lang w:val="mk-MK"/>
              </w:rPr>
              <w:t>мерење на ризикот од промена на девизните курсеви</w:t>
            </w:r>
          </w:p>
          <w:p w14:paraId="3DD24B6F" w14:textId="77777777" w:rsidR="004B4CD2" w:rsidRPr="004B4CD2" w:rsidRDefault="004B4CD2" w:rsidP="00452CA1">
            <w:pPr>
              <w:numPr>
                <w:ilvl w:val="0"/>
                <w:numId w:val="9"/>
              </w:numPr>
              <w:jc w:val="both"/>
              <w:rPr>
                <w:rFonts w:asciiTheme="minorHAnsi" w:hAnsiTheme="minorHAnsi" w:cstheme="minorHAnsi"/>
                <w:lang w:val="mk-MK"/>
              </w:rPr>
            </w:pPr>
            <w:r w:rsidRPr="004B4CD2">
              <w:rPr>
                <w:rFonts w:asciiTheme="minorHAnsi" w:hAnsiTheme="minorHAnsi" w:cstheme="minorHAnsi"/>
                <w:sz w:val="22"/>
                <w:szCs w:val="22"/>
                <w:lang w:val="mk-MK"/>
              </w:rPr>
              <w:t>следење на ризикот од промена на девизните курсеви</w:t>
            </w:r>
          </w:p>
          <w:p w14:paraId="47A4A715" w14:textId="77777777" w:rsidR="004B4CD2" w:rsidRPr="004B4CD2" w:rsidRDefault="004B4CD2" w:rsidP="00452CA1">
            <w:pPr>
              <w:numPr>
                <w:ilvl w:val="0"/>
                <w:numId w:val="9"/>
              </w:numPr>
              <w:jc w:val="both"/>
              <w:rPr>
                <w:rFonts w:asciiTheme="minorHAnsi" w:hAnsiTheme="minorHAnsi" w:cstheme="minorHAnsi"/>
                <w:lang w:val="mk-MK"/>
              </w:rPr>
            </w:pPr>
            <w:r w:rsidRPr="004B4CD2">
              <w:rPr>
                <w:rFonts w:asciiTheme="minorHAnsi" w:hAnsiTheme="minorHAnsi" w:cstheme="minorHAnsi"/>
                <w:sz w:val="22"/>
                <w:szCs w:val="22"/>
                <w:lang w:val="mk-MK"/>
              </w:rPr>
              <w:t>контрола на ризикот од промена на девизните курсеви</w:t>
            </w:r>
          </w:p>
          <w:p w14:paraId="12AABA0E" w14:textId="77777777" w:rsidR="004B4CD2" w:rsidRPr="004B4CD2" w:rsidRDefault="004B4CD2" w:rsidP="00452CA1">
            <w:pPr>
              <w:jc w:val="both"/>
              <w:rPr>
                <w:rFonts w:asciiTheme="minorHAnsi" w:hAnsiTheme="minorHAnsi" w:cstheme="minorHAnsi"/>
                <w:lang w:val="mk-MK"/>
              </w:rPr>
            </w:pPr>
            <w:r w:rsidRPr="004B4CD2">
              <w:rPr>
                <w:rFonts w:asciiTheme="minorHAnsi" w:hAnsiTheme="minorHAnsi" w:cstheme="minorHAnsi"/>
                <w:sz w:val="22"/>
                <w:szCs w:val="22"/>
                <w:lang w:val="mk-MK"/>
              </w:rPr>
              <w:t>Банката ги следи пропишаните лимити за отворена девизна позиција поставени од</w:t>
            </w:r>
            <w:r w:rsidR="00452CA1">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Народната</w:t>
            </w:r>
            <w:r w:rsidR="00452CA1">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банка.</w:t>
            </w:r>
          </w:p>
          <w:p w14:paraId="3AB0745E" w14:textId="77777777" w:rsidR="004B4CD2" w:rsidRPr="004B4CD2" w:rsidRDefault="004B4CD2" w:rsidP="00452CA1">
            <w:pPr>
              <w:jc w:val="both"/>
              <w:rPr>
                <w:rFonts w:asciiTheme="minorHAnsi" w:hAnsiTheme="minorHAnsi" w:cstheme="minorHAnsi"/>
                <w:lang w:val="mk-MK"/>
              </w:rPr>
            </w:pPr>
            <w:r w:rsidRPr="004B4CD2">
              <w:rPr>
                <w:rFonts w:asciiTheme="minorHAnsi" w:hAnsiTheme="minorHAnsi" w:cstheme="minorHAnsi"/>
                <w:sz w:val="22"/>
                <w:szCs w:val="22"/>
                <w:lang w:val="mk-MK"/>
              </w:rPr>
              <w:t>Банката исто така ги следи лимитите за девизно работење за сите отворени девизни позиции,</w:t>
            </w:r>
            <w:r w:rsidR="00452CA1">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дефинирани со интерните акти.</w:t>
            </w:r>
          </w:p>
          <w:p w14:paraId="1E6D065A" w14:textId="77777777" w:rsidR="004B4CD2" w:rsidRPr="004B4CD2" w:rsidRDefault="004B4CD2" w:rsidP="00452CA1">
            <w:pPr>
              <w:jc w:val="both"/>
              <w:rPr>
                <w:rFonts w:asciiTheme="minorHAnsi" w:hAnsiTheme="minorHAnsi" w:cstheme="minorHAnsi"/>
                <w:lang w:val="mk-MK"/>
              </w:rPr>
            </w:pPr>
          </w:p>
          <w:p w14:paraId="57997A1E" w14:textId="77777777" w:rsidR="004B4CD2" w:rsidRPr="004B4CD2" w:rsidRDefault="004B4CD2" w:rsidP="00452CA1">
            <w:pPr>
              <w:jc w:val="both"/>
              <w:rPr>
                <w:rFonts w:asciiTheme="minorHAnsi" w:hAnsiTheme="minorHAnsi" w:cstheme="minorHAnsi"/>
                <w:lang w:val="mk-MK"/>
              </w:rPr>
            </w:pPr>
            <w:r w:rsidRPr="004B4CD2">
              <w:rPr>
                <w:rFonts w:asciiTheme="minorHAnsi" w:hAnsiTheme="minorHAnsi" w:cstheme="minorHAnsi"/>
                <w:b/>
                <w:bCs/>
                <w:sz w:val="22"/>
                <w:szCs w:val="22"/>
                <w:lang w:val="mk-MK"/>
              </w:rPr>
              <w:t>Ценовен ризик</w:t>
            </w:r>
          </w:p>
          <w:p w14:paraId="35EEBF6B" w14:textId="77777777" w:rsidR="004B4CD2" w:rsidRPr="004B4CD2" w:rsidRDefault="004B4CD2" w:rsidP="00452CA1">
            <w:pPr>
              <w:jc w:val="both"/>
              <w:rPr>
                <w:rFonts w:asciiTheme="minorHAnsi" w:hAnsiTheme="minorHAnsi" w:cstheme="minorHAnsi"/>
                <w:lang w:val="mk-MK"/>
              </w:rPr>
            </w:pPr>
            <w:r w:rsidRPr="004B4CD2">
              <w:rPr>
                <w:rFonts w:asciiTheme="minorHAnsi" w:hAnsiTheme="minorHAnsi" w:cstheme="minorHAnsi"/>
                <w:sz w:val="22"/>
                <w:szCs w:val="22"/>
                <w:lang w:val="mk-MK"/>
              </w:rPr>
              <w:t>Ценовен ризик е ризикот по добивката или капиталот кој произлегува од негативни движења на</w:t>
            </w:r>
            <w:r w:rsidR="00452CA1">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цените на хартиите од вредност и цените на стоките. Овој ризик е фокусиран на промените на</w:t>
            </w:r>
            <w:r w:rsidR="00452CA1">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пазарните фактори (каматните стапки, ликвидноста на пазарот и волатилноста).</w:t>
            </w:r>
            <w:r w:rsidR="00452CA1">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Портфолиото на хартии од вредност на Банката го сочинуваат хартии од вредност без никаков или</w:t>
            </w:r>
            <w:r w:rsidR="00452CA1">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во краен случај со минимален степен на ризичност</w:t>
            </w:r>
            <w:r w:rsidR="00452CA1">
              <w:rPr>
                <w:rFonts w:asciiTheme="minorHAnsi" w:hAnsiTheme="minorHAnsi" w:cstheme="minorHAnsi"/>
                <w:sz w:val="22"/>
                <w:szCs w:val="22"/>
                <w:lang w:val="mk-MK"/>
              </w:rPr>
              <w:t>.</w:t>
            </w:r>
          </w:p>
          <w:p w14:paraId="233242A4" w14:textId="77777777" w:rsidR="004B4CD2" w:rsidRPr="004B4CD2" w:rsidRDefault="004B4CD2" w:rsidP="00452CA1">
            <w:pPr>
              <w:jc w:val="both"/>
              <w:rPr>
                <w:rFonts w:asciiTheme="minorHAnsi" w:hAnsiTheme="minorHAnsi" w:cstheme="minorHAnsi"/>
                <w:lang w:val="mk-MK"/>
              </w:rPr>
            </w:pPr>
          </w:p>
          <w:p w14:paraId="5A334E17" w14:textId="77777777" w:rsidR="004B4CD2" w:rsidRPr="004B4CD2" w:rsidRDefault="004B4CD2" w:rsidP="00452CA1">
            <w:pPr>
              <w:jc w:val="both"/>
              <w:rPr>
                <w:rFonts w:asciiTheme="minorHAnsi" w:hAnsiTheme="minorHAnsi" w:cstheme="minorHAnsi"/>
                <w:lang w:val="mk-MK"/>
              </w:rPr>
            </w:pPr>
            <w:r w:rsidRPr="004B4CD2">
              <w:rPr>
                <w:rFonts w:asciiTheme="minorHAnsi" w:hAnsiTheme="minorHAnsi" w:cstheme="minorHAnsi"/>
                <w:b/>
                <w:bCs/>
                <w:sz w:val="22"/>
                <w:szCs w:val="22"/>
                <w:lang w:val="mk-MK"/>
              </w:rPr>
              <w:t>Стратегиски ризик</w:t>
            </w:r>
          </w:p>
          <w:p w14:paraId="7D47B140" w14:textId="77777777" w:rsidR="004B4CD2" w:rsidRPr="004B4CD2" w:rsidRDefault="004B4CD2" w:rsidP="00452CA1">
            <w:pPr>
              <w:jc w:val="both"/>
              <w:rPr>
                <w:rFonts w:asciiTheme="minorHAnsi" w:hAnsiTheme="minorHAnsi" w:cstheme="minorHAnsi"/>
                <w:lang w:val="mk-MK"/>
              </w:rPr>
            </w:pPr>
            <w:r w:rsidRPr="004B4CD2">
              <w:rPr>
                <w:rFonts w:asciiTheme="minorHAnsi" w:hAnsiTheme="minorHAnsi" w:cstheme="minorHAnsi"/>
                <w:sz w:val="22"/>
                <w:szCs w:val="22"/>
                <w:lang w:val="mk-MK"/>
              </w:rPr>
              <w:lastRenderedPageBreak/>
              <w:t>Стратегискиот ризик произлегува од несоодветни деловни одлуки или неправилна</w:t>
            </w:r>
            <w:r w:rsidR="00452CA1">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имплементација на деловните одлуки.</w:t>
            </w:r>
            <w:r w:rsidR="00452CA1">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Банката активно ја следи својата деловна стратегија во однос на промените во конкуренцијата и</w:t>
            </w:r>
            <w:r w:rsidRPr="004B4CD2">
              <w:rPr>
                <w:rFonts w:asciiTheme="minorHAnsi" w:hAnsiTheme="minorHAnsi" w:cstheme="minorHAnsi"/>
                <w:sz w:val="22"/>
                <w:szCs w:val="22"/>
                <w:lang w:val="mk-MK"/>
              </w:rPr>
              <w:br/>
              <w:t>промените во политичката, регулаторната и економската средина. Банката активно управува сопромените. Стратешкиот ризик не може да се измери на квантитативен начин. Стратешките</w:t>
            </w:r>
            <w:r w:rsidR="00452CA1">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одлуки се предмет на квалитативни контроли.</w:t>
            </w:r>
          </w:p>
          <w:p w14:paraId="4267EFD7" w14:textId="77777777" w:rsidR="004B4CD2" w:rsidRPr="004B4CD2" w:rsidRDefault="004B4CD2" w:rsidP="00452CA1">
            <w:pPr>
              <w:jc w:val="both"/>
              <w:rPr>
                <w:rFonts w:asciiTheme="minorHAnsi" w:hAnsiTheme="minorHAnsi" w:cstheme="minorHAnsi"/>
                <w:lang w:val="mk-MK"/>
              </w:rPr>
            </w:pPr>
          </w:p>
          <w:p w14:paraId="2868F43B" w14:textId="77777777" w:rsidR="004B4CD2" w:rsidRPr="004B4CD2" w:rsidRDefault="004B4CD2" w:rsidP="00452CA1">
            <w:pPr>
              <w:jc w:val="both"/>
              <w:rPr>
                <w:rFonts w:asciiTheme="minorHAnsi" w:hAnsiTheme="minorHAnsi" w:cstheme="minorHAnsi"/>
                <w:lang w:val="mk-MK"/>
              </w:rPr>
            </w:pPr>
            <w:r w:rsidRPr="004B4CD2">
              <w:rPr>
                <w:rFonts w:asciiTheme="minorHAnsi" w:hAnsiTheme="minorHAnsi" w:cstheme="minorHAnsi"/>
                <w:b/>
                <w:bCs/>
                <w:sz w:val="22"/>
                <w:szCs w:val="22"/>
                <w:lang w:val="mk-MK"/>
              </w:rPr>
              <w:t>Правен ризик</w:t>
            </w:r>
            <w:r w:rsidRPr="004B4CD2">
              <w:rPr>
                <w:rFonts w:asciiTheme="minorHAnsi" w:hAnsiTheme="minorHAnsi" w:cstheme="minorHAnsi"/>
                <w:sz w:val="22"/>
                <w:szCs w:val="22"/>
                <w:lang w:val="mk-MK"/>
              </w:rPr>
              <w:t xml:space="preserve"> </w:t>
            </w:r>
          </w:p>
          <w:p w14:paraId="5D6E4F34" w14:textId="77777777" w:rsidR="004B4CD2" w:rsidRPr="004B4CD2" w:rsidRDefault="004B4CD2" w:rsidP="00452CA1">
            <w:pPr>
              <w:jc w:val="both"/>
              <w:rPr>
                <w:rFonts w:asciiTheme="minorHAnsi" w:hAnsiTheme="minorHAnsi" w:cstheme="minorHAnsi"/>
                <w:lang w:val="mk-MK"/>
              </w:rPr>
            </w:pPr>
            <w:r w:rsidRPr="004B4CD2">
              <w:rPr>
                <w:rFonts w:asciiTheme="minorHAnsi" w:hAnsiTheme="minorHAnsi" w:cstheme="minorHAnsi"/>
                <w:sz w:val="22"/>
                <w:szCs w:val="22"/>
                <w:lang w:val="mk-MK"/>
              </w:rPr>
              <w:t>Банката на континуирана основа го усогласува работењето со целокупната законска регулатива.</w:t>
            </w:r>
            <w:r w:rsidR="00452CA1">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Банката дава приоритет на сигурноста на договорите пред формалното преземање на ризиците.</w:t>
            </w:r>
            <w:r w:rsidR="00452CA1">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Банката има нула апетит за правни дејствија против банката.</w:t>
            </w:r>
          </w:p>
          <w:p w14:paraId="6BE15A93" w14:textId="77777777" w:rsidR="004B4CD2" w:rsidRPr="004B4CD2" w:rsidRDefault="004B4CD2" w:rsidP="00452CA1">
            <w:pPr>
              <w:jc w:val="both"/>
              <w:rPr>
                <w:rFonts w:asciiTheme="minorHAnsi" w:hAnsiTheme="minorHAnsi" w:cstheme="minorHAnsi"/>
                <w:lang w:val="mk-MK"/>
              </w:rPr>
            </w:pPr>
          </w:p>
          <w:p w14:paraId="3F5CADB1" w14:textId="77777777" w:rsidR="004B4CD2" w:rsidRPr="004B4CD2" w:rsidRDefault="004B4CD2" w:rsidP="00452CA1">
            <w:pPr>
              <w:jc w:val="both"/>
              <w:rPr>
                <w:rFonts w:asciiTheme="minorHAnsi" w:hAnsiTheme="minorHAnsi" w:cstheme="minorHAnsi"/>
                <w:lang w:val="mk-MK"/>
              </w:rPr>
            </w:pPr>
            <w:r w:rsidRPr="004B4CD2">
              <w:rPr>
                <w:rFonts w:asciiTheme="minorHAnsi" w:hAnsiTheme="minorHAnsi" w:cstheme="minorHAnsi"/>
                <w:b/>
                <w:bCs/>
                <w:sz w:val="22"/>
                <w:szCs w:val="22"/>
                <w:lang w:val="mk-MK"/>
              </w:rPr>
              <w:t>Репутациски ризик</w:t>
            </w:r>
          </w:p>
          <w:p w14:paraId="6180358B" w14:textId="77777777" w:rsidR="004B4CD2" w:rsidRPr="004B4CD2" w:rsidRDefault="004B4CD2" w:rsidP="00452CA1">
            <w:pPr>
              <w:jc w:val="both"/>
              <w:rPr>
                <w:rFonts w:asciiTheme="minorHAnsi" w:hAnsiTheme="minorHAnsi" w:cstheme="minorHAnsi"/>
                <w:lang w:val="mk-MK"/>
              </w:rPr>
            </w:pPr>
            <w:r w:rsidRPr="004B4CD2">
              <w:rPr>
                <w:rFonts w:asciiTheme="minorHAnsi" w:hAnsiTheme="minorHAnsi" w:cstheme="minorHAnsi"/>
                <w:sz w:val="22"/>
                <w:szCs w:val="22"/>
                <w:lang w:val="mk-MK"/>
              </w:rPr>
              <w:t>Репутациски ризик е ризикот по добивката или капиталот кој произлегува од негативно јавномнение.</w:t>
            </w:r>
          </w:p>
          <w:p w14:paraId="0E92F1F6" w14:textId="77777777" w:rsidR="00452CA1" w:rsidRDefault="004B4CD2" w:rsidP="00452CA1">
            <w:pPr>
              <w:jc w:val="both"/>
              <w:rPr>
                <w:rFonts w:asciiTheme="minorHAnsi" w:hAnsiTheme="minorHAnsi" w:cstheme="minorHAnsi"/>
                <w:lang w:val="mk-MK"/>
              </w:rPr>
            </w:pPr>
            <w:r w:rsidRPr="004B4CD2">
              <w:rPr>
                <w:rFonts w:asciiTheme="minorHAnsi" w:hAnsiTheme="minorHAnsi" w:cstheme="minorHAnsi"/>
                <w:sz w:val="22"/>
                <w:szCs w:val="22"/>
                <w:lang w:val="mk-MK"/>
              </w:rPr>
              <w:t>Банката има многу низок апетит за изложеност на репутациски ризик</w:t>
            </w:r>
            <w:r w:rsidR="00452CA1">
              <w:rPr>
                <w:rFonts w:asciiTheme="minorHAnsi" w:hAnsiTheme="minorHAnsi" w:cstheme="minorHAnsi"/>
                <w:sz w:val="22"/>
                <w:szCs w:val="22"/>
                <w:lang w:val="mk-MK"/>
              </w:rPr>
              <w:t xml:space="preserve">. </w:t>
            </w:r>
          </w:p>
          <w:p w14:paraId="36592363" w14:textId="77777777" w:rsidR="004B4CD2" w:rsidRPr="004B4CD2" w:rsidRDefault="004B4CD2" w:rsidP="00452CA1">
            <w:pPr>
              <w:jc w:val="both"/>
              <w:rPr>
                <w:rFonts w:asciiTheme="minorHAnsi" w:hAnsiTheme="minorHAnsi" w:cstheme="minorHAnsi"/>
                <w:lang w:val="mk-MK"/>
              </w:rPr>
            </w:pPr>
            <w:r w:rsidRPr="004B4CD2">
              <w:rPr>
                <w:rFonts w:asciiTheme="minorHAnsi" w:hAnsiTheme="minorHAnsi" w:cstheme="minorHAnsi"/>
                <w:sz w:val="22"/>
                <w:szCs w:val="22"/>
                <w:lang w:val="mk-MK"/>
              </w:rPr>
              <w:t>Банката презема итни активности за разрешување на жалбите од клиентите</w:t>
            </w:r>
            <w:r w:rsidR="00452CA1">
              <w:rPr>
                <w:rFonts w:asciiTheme="minorHAnsi" w:hAnsiTheme="minorHAnsi" w:cstheme="minorHAnsi"/>
                <w:sz w:val="22"/>
                <w:szCs w:val="22"/>
                <w:lang w:val="mk-MK"/>
              </w:rPr>
              <w:t>.</w:t>
            </w:r>
          </w:p>
          <w:p w14:paraId="14AF6F93" w14:textId="77777777" w:rsidR="004B4CD2" w:rsidRPr="004B4CD2" w:rsidRDefault="004B4CD2" w:rsidP="00452CA1">
            <w:pPr>
              <w:jc w:val="both"/>
              <w:rPr>
                <w:rFonts w:asciiTheme="minorHAnsi" w:hAnsiTheme="minorHAnsi" w:cstheme="minorHAnsi"/>
                <w:lang w:val="mk-MK"/>
              </w:rPr>
            </w:pPr>
            <w:r w:rsidRPr="004B4CD2">
              <w:rPr>
                <w:rFonts w:asciiTheme="minorHAnsi" w:hAnsiTheme="minorHAnsi" w:cstheme="minorHAnsi"/>
                <w:sz w:val="22"/>
                <w:szCs w:val="22"/>
                <w:lang w:val="mk-MK"/>
              </w:rPr>
              <w:t>Висок приоритет се дава на прашањата утврдени од страна на Централната банка и на наодите на</w:t>
            </w:r>
            <w:r w:rsidR="00452CA1">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внатрешната и надворешната ревизија.</w:t>
            </w:r>
          </w:p>
          <w:p w14:paraId="29580F61" w14:textId="77777777" w:rsidR="004B4CD2" w:rsidRPr="004B4CD2" w:rsidRDefault="004B4CD2" w:rsidP="00452CA1">
            <w:pPr>
              <w:jc w:val="both"/>
              <w:rPr>
                <w:rFonts w:asciiTheme="minorHAnsi" w:hAnsiTheme="minorHAnsi" w:cstheme="minorHAnsi"/>
                <w:lang w:val="mk-MK"/>
              </w:rPr>
            </w:pPr>
          </w:p>
          <w:p w14:paraId="3252BFD3" w14:textId="77777777" w:rsidR="004B4CD2" w:rsidRPr="004B4CD2" w:rsidRDefault="004B4CD2" w:rsidP="00452CA1">
            <w:pPr>
              <w:jc w:val="both"/>
              <w:rPr>
                <w:rFonts w:asciiTheme="minorHAnsi" w:hAnsiTheme="minorHAnsi" w:cstheme="minorHAnsi"/>
                <w:lang w:val="mk-MK"/>
              </w:rPr>
            </w:pPr>
            <w:r w:rsidRPr="004B4CD2">
              <w:rPr>
                <w:rFonts w:asciiTheme="minorHAnsi" w:hAnsiTheme="minorHAnsi" w:cstheme="minorHAnsi"/>
                <w:b/>
                <w:bCs/>
                <w:sz w:val="22"/>
                <w:szCs w:val="22"/>
                <w:lang w:val="mk-MK"/>
              </w:rPr>
              <w:t>Оперативен ризик</w:t>
            </w:r>
          </w:p>
          <w:p w14:paraId="2B95D559" w14:textId="77777777" w:rsidR="004B4CD2" w:rsidRPr="004B4CD2" w:rsidRDefault="004B4CD2" w:rsidP="00452CA1">
            <w:pPr>
              <w:jc w:val="both"/>
              <w:rPr>
                <w:rFonts w:asciiTheme="minorHAnsi" w:hAnsiTheme="minorHAnsi" w:cstheme="minorHAnsi"/>
                <w:lang w:val="mk-MK"/>
              </w:rPr>
            </w:pPr>
            <w:r w:rsidRPr="004B4CD2">
              <w:rPr>
                <w:rFonts w:asciiTheme="minorHAnsi" w:hAnsiTheme="minorHAnsi" w:cstheme="minorHAnsi"/>
                <w:sz w:val="22"/>
                <w:szCs w:val="22"/>
                <w:lang w:val="mk-MK"/>
              </w:rPr>
              <w:t>Оперативен ризик претставува ризик од загуба како резултат на несоодветни или неуспешни</w:t>
            </w:r>
            <w:r w:rsidR="00452CA1">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внатрешни процеси, луѓе и системи или надворешни настани што вклучува правен ризик.</w:t>
            </w:r>
            <w:r w:rsidR="00452CA1">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Банката има ниско ниво на толеранција на оперативен ризик. Откриените изложености на</w:t>
            </w:r>
            <w:r w:rsidR="00452CA1">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оперативен ризик се рационализираат и контролираат, се додека трошоците за контролирање на</w:t>
            </w:r>
            <w:r w:rsidRPr="004B4CD2">
              <w:rPr>
                <w:rFonts w:asciiTheme="minorHAnsi" w:hAnsiTheme="minorHAnsi" w:cstheme="minorHAnsi"/>
                <w:sz w:val="22"/>
                <w:szCs w:val="22"/>
                <w:lang w:val="mk-MK"/>
              </w:rPr>
              <w:br/>
              <w:t>ризикот не ја надминуваат користа од пониското ниво на ризик. Дополнително, кризни планови и</w:t>
            </w:r>
            <w:r w:rsidR="00452CA1">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аранжмани се воспоставуваат, одржуваат и периодично се тестираат.</w:t>
            </w:r>
          </w:p>
          <w:p w14:paraId="2E268D0D" w14:textId="77777777" w:rsidR="004B4CD2" w:rsidRPr="004B4CD2" w:rsidRDefault="004B4CD2" w:rsidP="00452CA1">
            <w:pPr>
              <w:rPr>
                <w:rFonts w:asciiTheme="minorHAnsi" w:hAnsiTheme="minorHAnsi" w:cstheme="minorHAnsi"/>
                <w:lang w:val="mk-MK"/>
              </w:rPr>
            </w:pPr>
          </w:p>
          <w:p w14:paraId="17FDFDC6" w14:textId="77777777" w:rsidR="004B4CD2" w:rsidRPr="004B4CD2" w:rsidRDefault="004B4CD2" w:rsidP="00452CA1">
            <w:pPr>
              <w:rPr>
                <w:rFonts w:asciiTheme="minorHAnsi" w:hAnsiTheme="minorHAnsi" w:cstheme="minorHAnsi"/>
                <w:lang w:val="mk-MK"/>
              </w:rPr>
            </w:pPr>
            <w:r w:rsidRPr="004B4CD2">
              <w:rPr>
                <w:rFonts w:asciiTheme="minorHAnsi" w:hAnsiTheme="minorHAnsi" w:cstheme="minorHAnsi"/>
                <w:sz w:val="22"/>
                <w:szCs w:val="22"/>
                <w:lang w:val="mk-MK"/>
              </w:rPr>
              <w:t>Изложеноста на оперативен ризик се идентификува преку следниве процеси:</w:t>
            </w:r>
          </w:p>
          <w:p w14:paraId="05FD4470" w14:textId="77777777" w:rsidR="00452CA1" w:rsidRDefault="004B4CD2" w:rsidP="00452CA1">
            <w:pPr>
              <w:rPr>
                <w:rFonts w:asciiTheme="minorHAnsi" w:hAnsiTheme="minorHAnsi" w:cstheme="minorHAnsi"/>
                <w:lang w:val="mk-MK"/>
              </w:rPr>
            </w:pPr>
            <w:r w:rsidRPr="004B4CD2">
              <w:rPr>
                <w:rFonts w:asciiTheme="minorHAnsi" w:hAnsiTheme="minorHAnsi" w:cstheme="minorHAnsi"/>
                <w:sz w:val="22"/>
                <w:szCs w:val="22"/>
                <w:lang w:val="mk-MK"/>
              </w:rPr>
              <w:t>Собирање и мониторинг на ризични настани</w:t>
            </w:r>
            <w:r w:rsidR="00452CA1">
              <w:rPr>
                <w:rFonts w:asciiTheme="minorHAnsi" w:hAnsiTheme="minorHAnsi" w:cstheme="minorHAnsi"/>
                <w:sz w:val="22"/>
                <w:szCs w:val="22"/>
                <w:lang w:val="mk-MK"/>
              </w:rPr>
              <w:t xml:space="preserve"> </w:t>
            </w:r>
          </w:p>
          <w:p w14:paraId="6037364E" w14:textId="77777777" w:rsidR="004B4CD2" w:rsidRPr="004B4CD2" w:rsidRDefault="004B4CD2" w:rsidP="00452CA1">
            <w:pPr>
              <w:rPr>
                <w:rFonts w:asciiTheme="minorHAnsi" w:hAnsiTheme="minorHAnsi" w:cstheme="minorHAnsi"/>
                <w:lang w:val="mk-MK"/>
              </w:rPr>
            </w:pPr>
            <w:r w:rsidRPr="004B4CD2">
              <w:rPr>
                <w:rFonts w:asciiTheme="minorHAnsi" w:hAnsiTheme="minorHAnsi" w:cstheme="minorHAnsi"/>
                <w:sz w:val="22"/>
                <w:szCs w:val="22"/>
                <w:lang w:val="mk-MK"/>
              </w:rPr>
              <w:t>Имплементација на клучни индикатори на ризик</w:t>
            </w:r>
          </w:p>
          <w:p w14:paraId="412B4253" w14:textId="77777777" w:rsidR="004B4CD2" w:rsidRPr="004B4CD2" w:rsidRDefault="004B4CD2" w:rsidP="00452CA1">
            <w:pPr>
              <w:rPr>
                <w:rFonts w:asciiTheme="minorHAnsi" w:hAnsiTheme="minorHAnsi" w:cstheme="minorHAnsi"/>
                <w:lang w:val="mk-MK"/>
              </w:rPr>
            </w:pPr>
            <w:r w:rsidRPr="004B4CD2">
              <w:rPr>
                <w:rFonts w:asciiTheme="minorHAnsi" w:hAnsiTheme="minorHAnsi" w:cstheme="minorHAnsi"/>
                <w:sz w:val="22"/>
                <w:szCs w:val="22"/>
                <w:lang w:val="mk-MK"/>
              </w:rPr>
              <w:t>Проценка на оперативните ризици преку сесии на самооценување</w:t>
            </w:r>
          </w:p>
          <w:p w14:paraId="339C4AE3" w14:textId="77777777" w:rsidR="004B4CD2" w:rsidRDefault="004B4CD2" w:rsidP="00452CA1">
            <w:pPr>
              <w:rPr>
                <w:rFonts w:asciiTheme="minorHAnsi" w:hAnsiTheme="minorHAnsi" w:cstheme="minorHAnsi"/>
                <w:lang w:val="mk-MK"/>
              </w:rPr>
            </w:pPr>
            <w:r w:rsidRPr="004B4CD2">
              <w:rPr>
                <w:rFonts w:asciiTheme="minorHAnsi" w:hAnsiTheme="minorHAnsi" w:cstheme="minorHAnsi"/>
                <w:sz w:val="22"/>
                <w:szCs w:val="22"/>
                <w:lang w:val="mk-MK"/>
              </w:rPr>
              <w:t>Високите ризици ќе се класифицираат во рамките или надвор од рамките на толеранција штом ќе</w:t>
            </w:r>
            <w:r w:rsidR="006970A2">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се идентификуваат и потоа соодветно ќе се рационализираат.</w:t>
            </w:r>
          </w:p>
          <w:p w14:paraId="0DF1AD0D" w14:textId="77777777" w:rsidR="00452CA1" w:rsidRPr="004B4CD2" w:rsidRDefault="00452CA1" w:rsidP="00452CA1">
            <w:pPr>
              <w:rPr>
                <w:rFonts w:asciiTheme="minorHAnsi" w:hAnsiTheme="minorHAnsi" w:cstheme="minorHAnsi"/>
                <w:lang w:val="mk-MK"/>
              </w:rPr>
            </w:pPr>
          </w:p>
          <w:p w14:paraId="0B888340" w14:textId="77777777" w:rsidR="004B4CD2" w:rsidRPr="004B4CD2" w:rsidRDefault="004B4CD2" w:rsidP="00452CA1">
            <w:pPr>
              <w:jc w:val="both"/>
              <w:rPr>
                <w:rFonts w:asciiTheme="minorHAnsi" w:hAnsiTheme="minorHAnsi" w:cstheme="minorHAnsi"/>
                <w:lang w:val="mk-MK"/>
              </w:rPr>
            </w:pPr>
            <w:r w:rsidRPr="004B4CD2">
              <w:rPr>
                <w:rFonts w:asciiTheme="minorHAnsi" w:hAnsiTheme="minorHAnsi" w:cstheme="minorHAnsi"/>
                <w:sz w:val="22"/>
                <w:szCs w:val="22"/>
                <w:lang w:val="mk-MK"/>
              </w:rPr>
              <w:t>Банката има утврдено седум главни категории на ризик кои поединечно се проценуваат како</w:t>
            </w:r>
            <w:r w:rsidR="00452CA1">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централни функции - внатрешна измама, надворешна измама, практики на вработените и безбедност на работно место, производи за клиентите и деловните практики, недостатоци на</w:t>
            </w:r>
            <w:r w:rsidR="00452CA1">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 xml:space="preserve">системот и штета на </w:t>
            </w:r>
            <w:r w:rsidR="00452CA1">
              <w:rPr>
                <w:rFonts w:asciiTheme="minorHAnsi" w:hAnsiTheme="minorHAnsi" w:cstheme="minorHAnsi"/>
                <w:sz w:val="22"/>
                <w:szCs w:val="22"/>
                <w:lang w:val="mk-MK"/>
              </w:rPr>
              <w:t>ф</w:t>
            </w:r>
            <w:r w:rsidRPr="004B4CD2">
              <w:rPr>
                <w:rFonts w:asciiTheme="minorHAnsi" w:hAnsiTheme="minorHAnsi" w:cstheme="minorHAnsi"/>
                <w:sz w:val="22"/>
                <w:szCs w:val="22"/>
                <w:lang w:val="mk-MK"/>
              </w:rPr>
              <w:t>изичките средства и управување со процесите и извршување на испораките</w:t>
            </w:r>
          </w:p>
          <w:p w14:paraId="0F1FD238" w14:textId="77777777" w:rsidR="004B4CD2" w:rsidRPr="004B4CD2" w:rsidRDefault="004B4CD2" w:rsidP="00452CA1">
            <w:pPr>
              <w:jc w:val="both"/>
              <w:rPr>
                <w:rFonts w:asciiTheme="minorHAnsi" w:hAnsiTheme="minorHAnsi" w:cstheme="minorHAnsi"/>
                <w:lang w:val="mk-MK"/>
              </w:rPr>
            </w:pPr>
            <w:r w:rsidRPr="004B4CD2">
              <w:rPr>
                <w:rFonts w:asciiTheme="minorHAnsi" w:hAnsiTheme="minorHAnsi" w:cstheme="minorHAnsi"/>
                <w:sz w:val="22"/>
                <w:szCs w:val="22"/>
                <w:lang w:val="mk-MK"/>
              </w:rPr>
              <w:t>Банката има нула толеранција за внатрешни измами.</w:t>
            </w:r>
          </w:p>
        </w:tc>
      </w:tr>
      <w:tr w:rsidR="004B4CD2" w:rsidRPr="004B4CD2" w14:paraId="59CB4821" w14:textId="77777777" w:rsidTr="00404624">
        <w:trPr>
          <w:trHeight w:val="6236"/>
        </w:trPr>
        <w:tc>
          <w:tcPr>
            <w:tcW w:w="1911" w:type="dxa"/>
            <w:vAlign w:val="center"/>
          </w:tcPr>
          <w:p w14:paraId="20597A8C" w14:textId="77777777" w:rsidR="004B4CD2" w:rsidRPr="004B4CD2" w:rsidRDefault="004B4CD2" w:rsidP="00404624">
            <w:pPr>
              <w:rPr>
                <w:rFonts w:asciiTheme="minorHAnsi" w:hAnsiTheme="minorHAnsi" w:cstheme="minorHAnsi"/>
                <w:lang w:val="ru-RU"/>
              </w:rPr>
            </w:pPr>
            <w:r w:rsidRPr="004B4CD2">
              <w:rPr>
                <w:rFonts w:asciiTheme="minorHAnsi" w:hAnsiTheme="minorHAnsi" w:cstheme="minorHAnsi"/>
                <w:sz w:val="22"/>
                <w:szCs w:val="22"/>
                <w:lang w:val="ru-RU"/>
              </w:rPr>
              <w:lastRenderedPageBreak/>
              <w:t>Структурата и организацијата на функцијата на управување со ризици</w:t>
            </w:r>
          </w:p>
        </w:tc>
        <w:tc>
          <w:tcPr>
            <w:tcW w:w="7836" w:type="dxa"/>
            <w:vAlign w:val="center"/>
          </w:tcPr>
          <w:p w14:paraId="23BF1A43" w14:textId="77777777" w:rsidR="004B4CD2" w:rsidRPr="004B4CD2" w:rsidRDefault="004B4CD2" w:rsidP="00452CA1">
            <w:pPr>
              <w:jc w:val="both"/>
              <w:rPr>
                <w:rFonts w:asciiTheme="minorHAnsi" w:hAnsiTheme="minorHAnsi" w:cstheme="minorHAnsi"/>
                <w:lang w:val="mk-MK"/>
              </w:rPr>
            </w:pPr>
            <w:r w:rsidRPr="004B4CD2">
              <w:rPr>
                <w:rFonts w:asciiTheme="minorHAnsi" w:hAnsiTheme="minorHAnsi" w:cstheme="minorHAnsi"/>
                <w:sz w:val="22"/>
                <w:szCs w:val="22"/>
                <w:lang w:val="mk-MK"/>
              </w:rPr>
              <w:t>Организацијата на системот за управување со ризици се состои од следните нивоа на хиерархија:</w:t>
            </w:r>
          </w:p>
          <w:p w14:paraId="755F482A" w14:textId="77777777" w:rsidR="004B4CD2" w:rsidRPr="004B4CD2" w:rsidRDefault="004B4CD2" w:rsidP="00452CA1">
            <w:pPr>
              <w:pStyle w:val="ListParagraph"/>
              <w:numPr>
                <w:ilvl w:val="0"/>
                <w:numId w:val="10"/>
              </w:numPr>
              <w:jc w:val="both"/>
              <w:rPr>
                <w:rFonts w:asciiTheme="minorHAnsi" w:hAnsiTheme="minorHAnsi" w:cstheme="minorHAnsi"/>
                <w:lang w:val="mk-MK"/>
              </w:rPr>
            </w:pPr>
            <w:r w:rsidRPr="004B4CD2">
              <w:rPr>
                <w:rFonts w:asciiTheme="minorHAnsi" w:hAnsiTheme="minorHAnsi" w:cstheme="minorHAnsi"/>
                <w:sz w:val="22"/>
                <w:szCs w:val="22"/>
                <w:lang w:val="mk-MK"/>
              </w:rPr>
              <w:t>Стратешко ниво-функцијата управување со ризиците ја врши Надзорниот Одбор, Управниот</w:t>
            </w:r>
            <w:r w:rsidR="00452CA1">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Одбор, Одборот за управување со ризици и Одборот за ревизија на Банката.</w:t>
            </w:r>
          </w:p>
          <w:p w14:paraId="63606C91" w14:textId="77777777" w:rsidR="004B4CD2" w:rsidRPr="004B4CD2" w:rsidRDefault="004B4CD2" w:rsidP="00452CA1">
            <w:pPr>
              <w:pStyle w:val="ListParagraph"/>
              <w:numPr>
                <w:ilvl w:val="0"/>
                <w:numId w:val="10"/>
              </w:numPr>
              <w:jc w:val="both"/>
              <w:rPr>
                <w:rFonts w:asciiTheme="minorHAnsi" w:hAnsiTheme="minorHAnsi" w:cstheme="minorHAnsi"/>
                <w:lang w:val="mk-MK"/>
              </w:rPr>
            </w:pPr>
            <w:r w:rsidRPr="004B4CD2">
              <w:rPr>
                <w:rFonts w:asciiTheme="minorHAnsi" w:hAnsiTheme="minorHAnsi" w:cstheme="minorHAnsi"/>
                <w:sz w:val="22"/>
                <w:szCs w:val="22"/>
                <w:lang w:val="mk-MK"/>
              </w:rPr>
              <w:t>Макро ниво- функцијата управување со ризиците се врши на ниво на деловна единица или</w:t>
            </w:r>
            <w:r w:rsidR="00452CA1">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деловна линија и се извршува од страна на другите лица со посебни права и одговорности, како и</w:t>
            </w:r>
            <w:r w:rsidRPr="004B4CD2">
              <w:rPr>
                <w:rFonts w:asciiTheme="minorHAnsi" w:hAnsiTheme="minorHAnsi" w:cstheme="minorHAnsi"/>
                <w:sz w:val="22"/>
                <w:szCs w:val="22"/>
                <w:lang w:val="mk-MK"/>
              </w:rPr>
              <w:br/>
              <w:t>од посебниот организациски дел надлежен за следење на управувањето со ризиците.</w:t>
            </w:r>
          </w:p>
          <w:p w14:paraId="0531D384" w14:textId="77777777" w:rsidR="004B4CD2" w:rsidRPr="00452CA1" w:rsidRDefault="004B4CD2" w:rsidP="00452CA1">
            <w:pPr>
              <w:pStyle w:val="ListParagraph"/>
              <w:numPr>
                <w:ilvl w:val="0"/>
                <w:numId w:val="10"/>
              </w:numPr>
              <w:jc w:val="both"/>
              <w:rPr>
                <w:rFonts w:asciiTheme="minorHAnsi" w:hAnsiTheme="minorHAnsi" w:cstheme="minorHAnsi"/>
                <w:lang w:val="mk-MK"/>
              </w:rPr>
            </w:pPr>
            <w:r w:rsidRPr="004B4CD2">
              <w:rPr>
                <w:rFonts w:asciiTheme="minorHAnsi" w:hAnsiTheme="minorHAnsi" w:cstheme="minorHAnsi"/>
                <w:sz w:val="22"/>
                <w:szCs w:val="22"/>
                <w:lang w:val="mk-MK"/>
              </w:rPr>
              <w:t>Микро ниво-активностите поврзани со управување со ризиците се извршуваат од страна на</w:t>
            </w:r>
            <w:r w:rsidR="00452CA1">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лицата кои во секојдневното работење преземаат ризици согласно процедурите за работа и</w:t>
            </w:r>
            <w:r w:rsidR="00452CA1">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системите за внатрешна контрола.</w:t>
            </w:r>
          </w:p>
          <w:p w14:paraId="638C2473" w14:textId="77777777" w:rsidR="00452CA1" w:rsidRPr="004B4CD2" w:rsidRDefault="00452CA1" w:rsidP="00452CA1">
            <w:pPr>
              <w:pStyle w:val="ListParagraph"/>
              <w:jc w:val="both"/>
              <w:rPr>
                <w:rFonts w:asciiTheme="minorHAnsi" w:hAnsiTheme="minorHAnsi" w:cstheme="minorHAnsi"/>
                <w:lang w:val="mk-MK"/>
              </w:rPr>
            </w:pPr>
          </w:p>
          <w:p w14:paraId="125F4425" w14:textId="77777777" w:rsidR="00452CA1" w:rsidRDefault="004B4CD2" w:rsidP="00452CA1">
            <w:pPr>
              <w:jc w:val="both"/>
              <w:rPr>
                <w:rFonts w:asciiTheme="minorHAnsi" w:hAnsiTheme="minorHAnsi" w:cstheme="minorHAnsi"/>
                <w:lang w:val="mk-MK"/>
              </w:rPr>
            </w:pPr>
            <w:r w:rsidRPr="004B4CD2">
              <w:rPr>
                <w:rFonts w:asciiTheme="minorHAnsi" w:hAnsiTheme="minorHAnsi" w:cstheme="minorHAnsi"/>
                <w:sz w:val="22"/>
                <w:szCs w:val="22"/>
                <w:lang w:val="mk-MK"/>
              </w:rPr>
              <w:t>Надзорниот Одбор ("Одбор") има целосна одговорност врз воспоставувањето и следењето на</w:t>
            </w:r>
            <w:r w:rsidR="00452CA1">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политиката за управување со ризикот. Одборот има формира</w:t>
            </w:r>
            <w:r w:rsidR="00452CA1">
              <w:rPr>
                <w:rFonts w:asciiTheme="minorHAnsi" w:hAnsiTheme="minorHAnsi" w:cstheme="minorHAnsi"/>
                <w:sz w:val="22"/>
                <w:szCs w:val="22"/>
                <w:lang w:val="mk-MK"/>
              </w:rPr>
              <w:t>но Одбор за управување со ризик.</w:t>
            </w:r>
          </w:p>
          <w:p w14:paraId="6BC5F649" w14:textId="77777777" w:rsidR="00452CA1" w:rsidRDefault="00452CA1" w:rsidP="00452CA1">
            <w:pPr>
              <w:jc w:val="both"/>
              <w:rPr>
                <w:rFonts w:asciiTheme="minorHAnsi" w:hAnsiTheme="minorHAnsi" w:cstheme="minorHAnsi"/>
                <w:lang w:val="mk-MK"/>
              </w:rPr>
            </w:pPr>
          </w:p>
          <w:p w14:paraId="24864D3A" w14:textId="77777777" w:rsidR="004B4CD2" w:rsidRDefault="004B4CD2" w:rsidP="00452CA1">
            <w:pPr>
              <w:jc w:val="both"/>
              <w:rPr>
                <w:rFonts w:asciiTheme="minorHAnsi" w:hAnsiTheme="minorHAnsi" w:cstheme="minorHAnsi"/>
                <w:lang w:val="mk-MK"/>
              </w:rPr>
            </w:pPr>
            <w:r w:rsidRPr="004B4CD2">
              <w:rPr>
                <w:rFonts w:asciiTheme="minorHAnsi" w:hAnsiTheme="minorHAnsi" w:cstheme="minorHAnsi"/>
                <w:sz w:val="22"/>
                <w:szCs w:val="22"/>
                <w:lang w:val="mk-MK"/>
              </w:rPr>
              <w:t>Комисија за управување со актива и пасива ("КУАП"), Одбор за задоцнети побарувања и Кредитни</w:t>
            </w:r>
            <w:r w:rsidR="00452CA1">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Одбори, кои се одговорни за развој и следење на политиките за управување со ризик на Банката</w:t>
            </w:r>
            <w:r w:rsidR="00452CA1">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во нивните одделни области.</w:t>
            </w:r>
          </w:p>
          <w:p w14:paraId="4F4D638A" w14:textId="77777777" w:rsidR="00452CA1" w:rsidRPr="004B4CD2" w:rsidRDefault="00452CA1" w:rsidP="00452CA1">
            <w:pPr>
              <w:jc w:val="both"/>
              <w:rPr>
                <w:rFonts w:asciiTheme="minorHAnsi" w:hAnsiTheme="minorHAnsi" w:cstheme="minorHAnsi"/>
                <w:lang w:val="mk-MK"/>
              </w:rPr>
            </w:pPr>
          </w:p>
          <w:p w14:paraId="66F08B2F" w14:textId="77777777" w:rsidR="00452CA1" w:rsidRDefault="004B4CD2" w:rsidP="00452CA1">
            <w:pPr>
              <w:jc w:val="both"/>
              <w:rPr>
                <w:rFonts w:asciiTheme="minorHAnsi" w:hAnsiTheme="minorHAnsi" w:cstheme="minorHAnsi"/>
                <w:lang w:val="mk-MK"/>
              </w:rPr>
            </w:pPr>
            <w:r w:rsidRPr="004B4CD2">
              <w:rPr>
                <w:rFonts w:asciiTheme="minorHAnsi" w:hAnsiTheme="minorHAnsi" w:cstheme="minorHAnsi"/>
                <w:sz w:val="22"/>
                <w:szCs w:val="22"/>
                <w:lang w:val="mk-MK"/>
              </w:rPr>
              <w:t>Одборот за управување со ризици на Банката е одговорен за следење на политиките и</w:t>
            </w:r>
            <w:r w:rsidR="00452CA1">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процедурите за управување со ризици, и за следење на адекватноста на политиката за</w:t>
            </w:r>
            <w:r w:rsidR="00452CA1">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 xml:space="preserve">управување со ризик во релација со ризиците со кои се соочува Банката. </w:t>
            </w:r>
          </w:p>
          <w:p w14:paraId="3518730D" w14:textId="77777777" w:rsidR="00452CA1" w:rsidRDefault="00452CA1" w:rsidP="00452CA1">
            <w:pPr>
              <w:jc w:val="both"/>
              <w:rPr>
                <w:rFonts w:asciiTheme="minorHAnsi" w:hAnsiTheme="minorHAnsi" w:cstheme="minorHAnsi"/>
                <w:lang w:val="mk-MK"/>
              </w:rPr>
            </w:pPr>
          </w:p>
          <w:p w14:paraId="06027F8F" w14:textId="77777777" w:rsidR="004B4CD2" w:rsidRPr="004B4CD2" w:rsidRDefault="004B4CD2" w:rsidP="00452CA1">
            <w:pPr>
              <w:jc w:val="both"/>
              <w:rPr>
                <w:rFonts w:asciiTheme="minorHAnsi" w:hAnsiTheme="minorHAnsi" w:cstheme="minorHAnsi"/>
                <w:lang w:val="mk-MK"/>
              </w:rPr>
            </w:pPr>
            <w:r w:rsidRPr="004B4CD2">
              <w:rPr>
                <w:rFonts w:asciiTheme="minorHAnsi" w:hAnsiTheme="minorHAnsi" w:cstheme="minorHAnsi"/>
                <w:sz w:val="22"/>
                <w:szCs w:val="22"/>
                <w:lang w:val="mk-MK"/>
              </w:rPr>
              <w:t>Одборот за управување</w:t>
            </w:r>
            <w:r w:rsidR="00452CA1">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со ризици во извршувањето на овие функции е потпомогнат од страна на Службата за управување</w:t>
            </w:r>
            <w:r w:rsidR="00452CA1">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со ризици.</w:t>
            </w:r>
          </w:p>
          <w:p w14:paraId="28E44F84" w14:textId="77777777" w:rsidR="004B4CD2" w:rsidRPr="004B4CD2" w:rsidRDefault="004B4CD2" w:rsidP="00452CA1">
            <w:pPr>
              <w:jc w:val="both"/>
              <w:rPr>
                <w:rFonts w:asciiTheme="minorHAnsi" w:hAnsiTheme="minorHAnsi" w:cstheme="minorHAnsi"/>
                <w:lang w:val="mk-MK"/>
              </w:rPr>
            </w:pPr>
            <w:r w:rsidRPr="004B4CD2">
              <w:rPr>
                <w:rFonts w:asciiTheme="minorHAnsi" w:hAnsiTheme="minorHAnsi" w:cstheme="minorHAnsi"/>
                <w:sz w:val="22"/>
                <w:szCs w:val="22"/>
                <w:lang w:val="mk-MK"/>
              </w:rPr>
              <w:t>Внатрешната Ревизија врши редовни и периодични ревизии на контролите и процедурите за</w:t>
            </w:r>
            <w:r w:rsidR="00452CA1">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 xml:space="preserve">управување со ризик, и резултатите од ревизиите се </w:t>
            </w:r>
            <w:r w:rsidR="00452CA1">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презентираат до Одборот за ревизија.</w:t>
            </w:r>
          </w:p>
        </w:tc>
      </w:tr>
      <w:tr w:rsidR="004B4CD2" w:rsidRPr="004B4CD2" w14:paraId="51EF9F0E" w14:textId="77777777" w:rsidTr="00404624">
        <w:trPr>
          <w:trHeight w:val="3221"/>
        </w:trPr>
        <w:tc>
          <w:tcPr>
            <w:tcW w:w="1911" w:type="dxa"/>
            <w:vAlign w:val="center"/>
          </w:tcPr>
          <w:p w14:paraId="669AF746" w14:textId="77777777" w:rsidR="004B4CD2" w:rsidRPr="004B4CD2" w:rsidRDefault="004B4CD2" w:rsidP="00404624">
            <w:pPr>
              <w:rPr>
                <w:rFonts w:asciiTheme="minorHAnsi" w:hAnsiTheme="minorHAnsi" w:cstheme="minorHAnsi"/>
                <w:lang w:val="ru-RU"/>
              </w:rPr>
            </w:pPr>
            <w:r w:rsidRPr="004B4CD2">
              <w:rPr>
                <w:rFonts w:asciiTheme="minorHAnsi" w:hAnsiTheme="minorHAnsi" w:cstheme="minorHAnsi"/>
                <w:sz w:val="22"/>
                <w:szCs w:val="22"/>
                <w:lang w:val="ru-RU"/>
              </w:rPr>
              <w:t>Структурата на системот за мерење на ризикот и системот за внатрешно известување</w:t>
            </w:r>
          </w:p>
        </w:tc>
        <w:tc>
          <w:tcPr>
            <w:tcW w:w="7836" w:type="dxa"/>
            <w:vAlign w:val="center"/>
          </w:tcPr>
          <w:p w14:paraId="620D17BD" w14:textId="77777777" w:rsidR="004B4CD2" w:rsidRPr="004B4CD2" w:rsidRDefault="004B4CD2" w:rsidP="00452CA1">
            <w:pPr>
              <w:jc w:val="both"/>
              <w:rPr>
                <w:rFonts w:asciiTheme="minorHAnsi" w:hAnsiTheme="minorHAnsi" w:cstheme="minorHAnsi"/>
                <w:lang w:val="mk-MK"/>
              </w:rPr>
            </w:pPr>
            <w:r w:rsidRPr="004B4CD2">
              <w:rPr>
                <w:rFonts w:asciiTheme="minorHAnsi" w:hAnsiTheme="minorHAnsi" w:cstheme="minorHAnsi"/>
                <w:sz w:val="22"/>
                <w:szCs w:val="22"/>
                <w:lang w:val="mk-MK"/>
              </w:rPr>
              <w:t>Банката го следи пристапот на прудентно управување со ризик, со аналогно внимание врз</w:t>
            </w:r>
            <w:r w:rsidR="00452CA1">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усогласувањето со условите од Народна банка. При мерењето на ризикот, Банката користи</w:t>
            </w:r>
            <w:r w:rsidR="00452CA1">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статични инструменти (како извештаи за јаз) и динамични напредни инструменти (стрес</w:t>
            </w:r>
            <w:r w:rsidR="00452CA1">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тестирање, анализа на сценарија итн.).</w:t>
            </w:r>
          </w:p>
          <w:p w14:paraId="2B54894D" w14:textId="77777777" w:rsidR="004B4CD2" w:rsidRPr="004B4CD2" w:rsidRDefault="004B4CD2" w:rsidP="00452CA1">
            <w:pPr>
              <w:jc w:val="both"/>
              <w:rPr>
                <w:rFonts w:asciiTheme="minorHAnsi" w:hAnsiTheme="minorHAnsi" w:cstheme="minorHAnsi"/>
                <w:lang w:val="mk-MK"/>
              </w:rPr>
            </w:pPr>
            <w:r w:rsidRPr="004B4CD2">
              <w:rPr>
                <w:rFonts w:asciiTheme="minorHAnsi" w:hAnsiTheme="minorHAnsi" w:cstheme="minorHAnsi"/>
                <w:sz w:val="22"/>
                <w:szCs w:val="22"/>
                <w:lang w:val="mk-MK"/>
              </w:rPr>
              <w:t>Банката има развиен систем за внатрешно известување за одделните типови на ризици до</w:t>
            </w:r>
            <w:r w:rsidR="00452CA1">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соодветните нејзини органи: Управниот Одбор, Одборот за управување со ризици, Комисија за</w:t>
            </w:r>
            <w:r w:rsidR="00452CA1">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управување со актива и пасива, Кредитни Комисии и Надзорен Одбор.</w:t>
            </w:r>
          </w:p>
          <w:p w14:paraId="65240811" w14:textId="77777777" w:rsidR="004B4CD2" w:rsidRPr="004B4CD2" w:rsidRDefault="004B4CD2" w:rsidP="00452CA1">
            <w:pPr>
              <w:jc w:val="both"/>
              <w:rPr>
                <w:rFonts w:asciiTheme="minorHAnsi" w:hAnsiTheme="minorHAnsi" w:cstheme="minorHAnsi"/>
                <w:lang w:val="mk-MK"/>
              </w:rPr>
            </w:pPr>
            <w:r w:rsidRPr="004B4CD2">
              <w:rPr>
                <w:rFonts w:asciiTheme="minorHAnsi" w:hAnsiTheme="minorHAnsi" w:cstheme="minorHAnsi"/>
                <w:sz w:val="22"/>
                <w:szCs w:val="22"/>
                <w:lang w:val="mk-MK"/>
              </w:rPr>
              <w:t>Преку системот за внатрешно известување за одделните типови на ризици се овозможува</w:t>
            </w:r>
            <w:r w:rsidR="00452CA1">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информирање за:</w:t>
            </w:r>
          </w:p>
          <w:p w14:paraId="32565DC0" w14:textId="77777777" w:rsidR="004B4CD2" w:rsidRPr="004B4CD2" w:rsidRDefault="004B4CD2" w:rsidP="00452CA1">
            <w:pPr>
              <w:pStyle w:val="ListParagraph"/>
              <w:numPr>
                <w:ilvl w:val="0"/>
                <w:numId w:val="11"/>
              </w:numPr>
              <w:jc w:val="both"/>
              <w:rPr>
                <w:rFonts w:asciiTheme="minorHAnsi" w:hAnsiTheme="minorHAnsi" w:cstheme="minorHAnsi"/>
                <w:lang w:val="mk-MK"/>
              </w:rPr>
            </w:pPr>
            <w:r w:rsidRPr="004B4CD2">
              <w:rPr>
                <w:rFonts w:asciiTheme="minorHAnsi" w:hAnsiTheme="minorHAnsi" w:cstheme="minorHAnsi"/>
                <w:sz w:val="22"/>
                <w:szCs w:val="22"/>
                <w:lang w:val="mk-MK"/>
              </w:rPr>
              <w:t>нивото на преземениот ризик</w:t>
            </w:r>
          </w:p>
          <w:p w14:paraId="365765F8" w14:textId="77777777" w:rsidR="004B4CD2" w:rsidRPr="004B4CD2" w:rsidRDefault="004B4CD2" w:rsidP="00452CA1">
            <w:pPr>
              <w:pStyle w:val="ListParagraph"/>
              <w:numPr>
                <w:ilvl w:val="0"/>
                <w:numId w:val="11"/>
              </w:numPr>
              <w:jc w:val="both"/>
              <w:rPr>
                <w:rFonts w:asciiTheme="minorHAnsi" w:hAnsiTheme="minorHAnsi" w:cstheme="minorHAnsi"/>
                <w:lang w:val="mk-MK"/>
              </w:rPr>
            </w:pPr>
            <w:r w:rsidRPr="004B4CD2">
              <w:rPr>
                <w:rFonts w:asciiTheme="minorHAnsi" w:hAnsiTheme="minorHAnsi" w:cstheme="minorHAnsi"/>
                <w:sz w:val="22"/>
                <w:szCs w:val="22"/>
                <w:lang w:val="mk-MK"/>
              </w:rPr>
              <w:t>следење на почитувањето на законските и интерните лимити на изложеност по одделни типови на ризици.</w:t>
            </w:r>
          </w:p>
        </w:tc>
      </w:tr>
      <w:tr w:rsidR="004B4CD2" w:rsidRPr="004B4CD2" w14:paraId="1880E87C" w14:textId="77777777" w:rsidTr="00404624">
        <w:trPr>
          <w:trHeight w:val="6281"/>
        </w:trPr>
        <w:tc>
          <w:tcPr>
            <w:tcW w:w="1911" w:type="dxa"/>
            <w:tcBorders>
              <w:bottom w:val="single" w:sz="4" w:space="0" w:color="auto"/>
            </w:tcBorders>
            <w:vAlign w:val="center"/>
          </w:tcPr>
          <w:p w14:paraId="70B5AC42" w14:textId="77777777" w:rsidR="004B4CD2" w:rsidRPr="004B4CD2" w:rsidRDefault="004B4CD2" w:rsidP="00404624">
            <w:pPr>
              <w:rPr>
                <w:rFonts w:asciiTheme="minorHAnsi" w:hAnsiTheme="minorHAnsi" w:cstheme="minorHAnsi"/>
                <w:lang w:val="ru-RU"/>
              </w:rPr>
            </w:pPr>
            <w:r w:rsidRPr="004B4CD2">
              <w:rPr>
                <w:rFonts w:asciiTheme="minorHAnsi" w:hAnsiTheme="minorHAnsi" w:cstheme="minorHAnsi"/>
                <w:sz w:val="22"/>
                <w:szCs w:val="22"/>
                <w:lang w:val="ru-RU"/>
              </w:rPr>
              <w:lastRenderedPageBreak/>
              <w:t>Политиките за заштита и намалување на ризикот, како и процедурите за следење на ефикасноста на извр</w:t>
            </w:r>
            <w:r w:rsidRPr="004B4CD2">
              <w:rPr>
                <w:rFonts w:asciiTheme="minorHAnsi" w:hAnsiTheme="minorHAnsi" w:cstheme="minorHAnsi"/>
                <w:sz w:val="22"/>
                <w:szCs w:val="22"/>
                <w:lang w:val="ru-RU"/>
              </w:rPr>
              <w:softHyphen/>
              <w:t>шувањето на овие политики</w:t>
            </w:r>
          </w:p>
        </w:tc>
        <w:tc>
          <w:tcPr>
            <w:tcW w:w="7836" w:type="dxa"/>
            <w:tcBorders>
              <w:bottom w:val="single" w:sz="4" w:space="0" w:color="auto"/>
            </w:tcBorders>
            <w:vAlign w:val="center"/>
          </w:tcPr>
          <w:p w14:paraId="049E4775" w14:textId="77777777" w:rsidR="004B4CD2" w:rsidRPr="004B4CD2" w:rsidRDefault="004B4CD2" w:rsidP="00452CA1">
            <w:pPr>
              <w:spacing w:before="120" w:after="120"/>
              <w:jc w:val="both"/>
              <w:rPr>
                <w:rFonts w:asciiTheme="minorHAnsi" w:hAnsiTheme="minorHAnsi" w:cstheme="minorHAnsi"/>
                <w:lang w:val="mk-MK"/>
              </w:rPr>
            </w:pPr>
            <w:r w:rsidRPr="004B4CD2">
              <w:rPr>
                <w:rFonts w:asciiTheme="minorHAnsi" w:hAnsiTheme="minorHAnsi" w:cstheme="minorHAnsi"/>
                <w:sz w:val="22"/>
                <w:szCs w:val="22"/>
                <w:lang w:val="mk-MK"/>
              </w:rPr>
              <w:t>При управувањето со ризици, банката користи сеопфатна рамка за ризик која го комбинира најдоброто што може да го понуди технологијата со експертското човечко расудување. Ваквиот пристап помага во справувањето со тековната изложеност на кредитен ризик, ликвидносен ризик,</w:t>
            </w:r>
            <w:r w:rsidRPr="004B4CD2">
              <w:rPr>
                <w:rFonts w:asciiTheme="minorHAnsi" w:hAnsiTheme="minorHAnsi" w:cstheme="minorHAnsi"/>
                <w:sz w:val="22"/>
                <w:szCs w:val="22"/>
                <w:lang w:val="mk-MK"/>
              </w:rPr>
              <w:br/>
              <w:t>пазарен ризик и оперативен ризик и во намалувањето на степенот на изложеност и дури може да спречи поголема изложеност на овие ризици.</w:t>
            </w:r>
          </w:p>
          <w:p w14:paraId="47280123" w14:textId="77777777" w:rsidR="004B4CD2" w:rsidRPr="004B4CD2" w:rsidRDefault="004B4CD2" w:rsidP="00452CA1">
            <w:pPr>
              <w:spacing w:before="120" w:after="120"/>
              <w:jc w:val="both"/>
              <w:rPr>
                <w:rFonts w:asciiTheme="minorHAnsi" w:hAnsiTheme="minorHAnsi" w:cstheme="minorHAnsi"/>
                <w:lang w:val="mk-MK"/>
              </w:rPr>
            </w:pPr>
            <w:r w:rsidRPr="004B4CD2">
              <w:rPr>
                <w:rFonts w:asciiTheme="minorHAnsi" w:hAnsiTheme="minorHAnsi" w:cstheme="minorHAnsi"/>
                <w:sz w:val="22"/>
                <w:szCs w:val="22"/>
                <w:lang w:val="mk-MK"/>
              </w:rPr>
              <w:t>Банката се штити од кредитниот ризик преку воспоставените обезбедувања на побарувањата, преку политиките за наплата на побарувањата и преку користење на систем на рано предупредувачки сигнали.</w:t>
            </w:r>
          </w:p>
          <w:p w14:paraId="64C066F1" w14:textId="77777777" w:rsidR="004B4CD2" w:rsidRPr="004B4CD2" w:rsidRDefault="004B4CD2" w:rsidP="00452CA1">
            <w:pPr>
              <w:spacing w:before="120" w:after="120"/>
              <w:jc w:val="both"/>
              <w:rPr>
                <w:rFonts w:asciiTheme="minorHAnsi" w:hAnsiTheme="minorHAnsi" w:cstheme="minorHAnsi"/>
                <w:lang w:val="mk-MK"/>
              </w:rPr>
            </w:pPr>
            <w:r w:rsidRPr="004B4CD2">
              <w:rPr>
                <w:rFonts w:asciiTheme="minorHAnsi" w:hAnsiTheme="minorHAnsi" w:cstheme="minorHAnsi"/>
                <w:sz w:val="22"/>
                <w:szCs w:val="22"/>
                <w:lang w:val="mk-MK"/>
              </w:rPr>
              <w:t>Банката се штити од ликвидносниот ризик со користење на инструментите за управување со</w:t>
            </w:r>
            <w:r w:rsidR="00452CA1">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ликвидност како што се благајничките записи, државни записи, своп девизни трансакции,</w:t>
            </w:r>
            <w:r w:rsidR="00230F2D">
              <w:rPr>
                <w:rFonts w:asciiTheme="minorHAnsi" w:hAnsiTheme="minorHAnsi" w:cstheme="minorHAnsi"/>
                <w:sz w:val="22"/>
                <w:szCs w:val="22"/>
                <w:lang w:val="en-US"/>
              </w:rPr>
              <w:t xml:space="preserve"> </w:t>
            </w:r>
            <w:r w:rsidRPr="004B4CD2">
              <w:rPr>
                <w:rFonts w:asciiTheme="minorHAnsi" w:hAnsiTheme="minorHAnsi" w:cstheme="minorHAnsi"/>
                <w:sz w:val="22"/>
                <w:szCs w:val="22"/>
                <w:lang w:val="mk-MK"/>
              </w:rPr>
              <w:t>спот</w:t>
            </w:r>
            <w:r w:rsidR="00452CA1">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валута купопродажба на девизи, депозити од матичната банка, депозити од банки, кредити од</w:t>
            </w:r>
            <w:r w:rsidR="00452CA1">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НБМ во крајна инстанца.</w:t>
            </w:r>
          </w:p>
          <w:p w14:paraId="443A137A" w14:textId="77777777" w:rsidR="004B4CD2" w:rsidRPr="004B4CD2" w:rsidRDefault="004B4CD2" w:rsidP="00452CA1">
            <w:pPr>
              <w:spacing w:before="120" w:after="120"/>
              <w:jc w:val="both"/>
              <w:rPr>
                <w:rFonts w:asciiTheme="minorHAnsi" w:hAnsiTheme="minorHAnsi" w:cstheme="minorHAnsi"/>
                <w:lang w:val="mk-MK"/>
              </w:rPr>
            </w:pPr>
            <w:r w:rsidRPr="004B4CD2">
              <w:rPr>
                <w:rFonts w:asciiTheme="minorHAnsi" w:hAnsiTheme="minorHAnsi" w:cstheme="minorHAnsi"/>
                <w:sz w:val="22"/>
                <w:szCs w:val="22"/>
                <w:lang w:val="mk-MK"/>
              </w:rPr>
              <w:t>Банката се штити од пазарниот ризик преку инвестирање во хартии од вредност со низок ризик,</w:t>
            </w:r>
            <w:r w:rsidR="00452CA1">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следење на пазарните циклуси, следење на портфолиото од аспект на економските промени и</w:t>
            </w:r>
            <w:r w:rsidR="00452CA1">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слично.</w:t>
            </w:r>
          </w:p>
          <w:p w14:paraId="030A06B1" w14:textId="77777777" w:rsidR="004B4CD2" w:rsidRPr="004B4CD2" w:rsidRDefault="004B4CD2" w:rsidP="00452CA1">
            <w:pPr>
              <w:spacing w:before="120" w:after="120"/>
              <w:jc w:val="both"/>
              <w:rPr>
                <w:rFonts w:asciiTheme="minorHAnsi" w:hAnsiTheme="minorHAnsi" w:cstheme="minorHAnsi"/>
                <w:lang w:val="mk-MK"/>
              </w:rPr>
            </w:pPr>
            <w:r w:rsidRPr="004B4CD2">
              <w:rPr>
                <w:rFonts w:asciiTheme="minorHAnsi" w:hAnsiTheme="minorHAnsi" w:cstheme="minorHAnsi"/>
                <w:sz w:val="22"/>
                <w:szCs w:val="22"/>
                <w:lang w:val="mk-MK"/>
              </w:rPr>
              <w:t>Банката се штити од ризикот од промена на каматните стапки преку одржување на соодветна</w:t>
            </w:r>
            <w:r w:rsidR="00452CA1">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рочна усогласеност на каматночувствителна актива и каматночувствителна пасива.</w:t>
            </w:r>
          </w:p>
          <w:p w14:paraId="32AF5FD6" w14:textId="77777777" w:rsidR="004B4CD2" w:rsidRPr="004B4CD2" w:rsidRDefault="004B4CD2" w:rsidP="00452CA1">
            <w:pPr>
              <w:spacing w:before="120" w:after="120"/>
              <w:jc w:val="both"/>
              <w:rPr>
                <w:rFonts w:asciiTheme="minorHAnsi" w:hAnsiTheme="minorHAnsi" w:cstheme="minorHAnsi"/>
                <w:lang w:val="mk-MK"/>
              </w:rPr>
            </w:pPr>
            <w:r w:rsidRPr="004B4CD2">
              <w:rPr>
                <w:rFonts w:asciiTheme="minorHAnsi" w:hAnsiTheme="minorHAnsi" w:cstheme="minorHAnsi"/>
                <w:sz w:val="22"/>
                <w:szCs w:val="22"/>
                <w:lang w:val="mk-MK"/>
              </w:rPr>
              <w:t>Банката се штити од оперативниот ризик преку утврдените ниски нивоа на толеранција за загуби</w:t>
            </w:r>
            <w:r w:rsidR="00452CA1">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од оперативен ризик, како и нула толеранција од измама. Во случај на појава на загуба од</w:t>
            </w:r>
            <w:r w:rsidR="00452CA1">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оперативен ризик банката презема активности за усогласување на ризикот во рамките на</w:t>
            </w:r>
            <w:r w:rsidR="00452CA1">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прифатливото ниво на ризик.</w:t>
            </w:r>
          </w:p>
          <w:p w14:paraId="0CFC5CAE" w14:textId="77777777" w:rsidR="004B4CD2" w:rsidRPr="004B4CD2" w:rsidRDefault="004B4CD2" w:rsidP="00452CA1">
            <w:pPr>
              <w:spacing w:before="120" w:after="120"/>
              <w:jc w:val="both"/>
              <w:rPr>
                <w:rFonts w:asciiTheme="minorHAnsi" w:hAnsiTheme="minorHAnsi" w:cstheme="minorHAnsi"/>
                <w:lang w:val="mk-MK"/>
              </w:rPr>
            </w:pPr>
            <w:r w:rsidRPr="004B4CD2">
              <w:rPr>
                <w:rFonts w:asciiTheme="minorHAnsi" w:hAnsiTheme="minorHAnsi" w:cstheme="minorHAnsi"/>
                <w:sz w:val="22"/>
                <w:szCs w:val="22"/>
                <w:lang w:val="mk-MK"/>
              </w:rPr>
              <w:t>Банката се штити од репутацискиот ризик на тој начин што целосно се придржува кон одредбите</w:t>
            </w:r>
            <w:r w:rsidR="00452CA1">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за управување со овој ризик дефинирани во нејзината политика за управување со репутациски</w:t>
            </w:r>
            <w:r w:rsidR="00452CA1">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ризик.</w:t>
            </w:r>
          </w:p>
          <w:p w14:paraId="487C31B6" w14:textId="77777777" w:rsidR="004B4CD2" w:rsidRPr="004B4CD2" w:rsidRDefault="004B4CD2" w:rsidP="00452CA1">
            <w:pPr>
              <w:spacing w:before="120" w:after="120"/>
              <w:jc w:val="both"/>
              <w:rPr>
                <w:rFonts w:asciiTheme="minorHAnsi" w:hAnsiTheme="minorHAnsi" w:cstheme="minorHAnsi"/>
                <w:lang w:val="mk-MK"/>
              </w:rPr>
            </w:pPr>
            <w:r w:rsidRPr="004B4CD2">
              <w:rPr>
                <w:rFonts w:asciiTheme="minorHAnsi" w:hAnsiTheme="minorHAnsi" w:cstheme="minorHAnsi"/>
                <w:sz w:val="22"/>
                <w:szCs w:val="22"/>
                <w:lang w:val="mk-MK"/>
              </w:rPr>
              <w:t>Банката се штити од стратегискиот ризик преку редовно следење на остварувањето на деловните планови, преземање на мерки и активности за остварување на зацртаните цели.</w:t>
            </w:r>
          </w:p>
          <w:p w14:paraId="5F8BFD4A" w14:textId="77777777" w:rsidR="004B4CD2" w:rsidRPr="004B4CD2" w:rsidRDefault="004B4CD2" w:rsidP="00404624">
            <w:pPr>
              <w:spacing w:before="120" w:after="120"/>
              <w:rPr>
                <w:rFonts w:asciiTheme="minorHAnsi" w:hAnsiTheme="minorHAnsi" w:cstheme="minorHAnsi"/>
                <w:lang w:val="mk-MK"/>
              </w:rPr>
            </w:pPr>
          </w:p>
        </w:tc>
      </w:tr>
      <w:tr w:rsidR="004B4CD2" w:rsidRPr="004B4CD2" w14:paraId="1DF39097" w14:textId="77777777" w:rsidTr="00404624">
        <w:tc>
          <w:tcPr>
            <w:tcW w:w="9747" w:type="dxa"/>
            <w:gridSpan w:val="2"/>
            <w:shd w:val="clear" w:color="auto" w:fill="000082"/>
            <w:vAlign w:val="center"/>
          </w:tcPr>
          <w:p w14:paraId="2463A667" w14:textId="77777777" w:rsidR="004B4CD2" w:rsidRPr="004B4CD2" w:rsidRDefault="004B4CD2" w:rsidP="00404624">
            <w:pPr>
              <w:rPr>
                <w:rFonts w:asciiTheme="minorHAnsi" w:hAnsiTheme="minorHAnsi" w:cstheme="minorHAnsi"/>
                <w:b/>
                <w:color w:val="FFFFFF"/>
                <w:lang w:val="ru-RU"/>
              </w:rPr>
            </w:pPr>
            <w:r w:rsidRPr="004B4CD2">
              <w:rPr>
                <w:rFonts w:asciiTheme="minorHAnsi" w:hAnsiTheme="minorHAnsi" w:cstheme="minorHAnsi"/>
                <w:b/>
                <w:color w:val="FFFFFF"/>
                <w:sz w:val="22"/>
                <w:szCs w:val="22"/>
                <w:lang w:val="ru-RU"/>
              </w:rPr>
              <w:t>4.1 ПОДАТОЦИ ЗА УПРАВУВАЊЕ СО КРЕДИТНИОТ РИЗИК</w:t>
            </w:r>
          </w:p>
        </w:tc>
      </w:tr>
      <w:tr w:rsidR="004B4CD2" w:rsidRPr="004B4CD2" w14:paraId="016379D2" w14:textId="77777777" w:rsidTr="00404624">
        <w:tc>
          <w:tcPr>
            <w:tcW w:w="1911" w:type="dxa"/>
            <w:vAlign w:val="center"/>
          </w:tcPr>
          <w:p w14:paraId="23FEBC29" w14:textId="77777777" w:rsidR="004B4CD2" w:rsidRPr="004B4CD2" w:rsidRDefault="004B4CD2" w:rsidP="00404624">
            <w:pPr>
              <w:rPr>
                <w:rFonts w:asciiTheme="minorHAnsi" w:hAnsiTheme="minorHAnsi" w:cstheme="minorHAnsi"/>
                <w:lang w:val="ru-RU"/>
              </w:rPr>
            </w:pPr>
            <w:r w:rsidRPr="004B4CD2">
              <w:rPr>
                <w:rFonts w:asciiTheme="minorHAnsi" w:hAnsiTheme="minorHAnsi" w:cstheme="minorHAnsi"/>
                <w:sz w:val="22"/>
                <w:szCs w:val="22"/>
                <w:lang w:val="ru-RU"/>
              </w:rPr>
              <w:t>Описот на политиката за вршење исправка на вредноста и за издвојување посебна резерва</w:t>
            </w:r>
          </w:p>
        </w:tc>
        <w:tc>
          <w:tcPr>
            <w:tcW w:w="7836" w:type="dxa"/>
            <w:vAlign w:val="center"/>
          </w:tcPr>
          <w:p w14:paraId="7E85396C" w14:textId="77777777" w:rsidR="004B4CD2" w:rsidRPr="002352CF" w:rsidRDefault="004B4CD2" w:rsidP="00404624">
            <w:pPr>
              <w:spacing w:before="120" w:after="120"/>
              <w:rPr>
                <w:rFonts w:asciiTheme="minorHAnsi" w:hAnsiTheme="minorHAnsi" w:cstheme="minorHAnsi"/>
                <w:lang w:val="en-US"/>
              </w:rPr>
            </w:pPr>
            <w:r w:rsidRPr="004B4CD2">
              <w:rPr>
                <w:rFonts w:asciiTheme="minorHAnsi" w:hAnsiTheme="minorHAnsi" w:cstheme="minorHAnsi"/>
                <w:sz w:val="22"/>
                <w:szCs w:val="22"/>
                <w:lang w:val="mk-MK"/>
              </w:rPr>
              <w:t>Согласно интерната методологија на Банката за процесот на утврдување на загуба поради</w:t>
            </w:r>
            <w:r w:rsidRPr="004B4CD2">
              <w:rPr>
                <w:rFonts w:asciiTheme="minorHAnsi" w:hAnsiTheme="minorHAnsi" w:cstheme="minorHAnsi"/>
                <w:sz w:val="22"/>
                <w:szCs w:val="22"/>
                <w:lang w:val="mk-MK"/>
              </w:rPr>
              <w:br/>
              <w:t>оштетување, се врши класификација на кредитната изложеност на</w:t>
            </w:r>
          </w:p>
          <w:p w14:paraId="57F8DDD8" w14:textId="77777777" w:rsidR="00230F2D" w:rsidRPr="00452CA1" w:rsidRDefault="004B4CD2" w:rsidP="00452CA1">
            <w:pPr>
              <w:pStyle w:val="ListParagraph"/>
              <w:numPr>
                <w:ilvl w:val="0"/>
                <w:numId w:val="11"/>
              </w:numPr>
              <w:spacing w:before="120" w:after="120"/>
              <w:rPr>
                <w:rFonts w:asciiTheme="minorHAnsi" w:hAnsiTheme="minorHAnsi" w:cstheme="minorHAnsi"/>
                <w:lang w:val="mk-MK"/>
              </w:rPr>
            </w:pPr>
            <w:r w:rsidRPr="00452CA1">
              <w:rPr>
                <w:rFonts w:asciiTheme="minorHAnsi" w:hAnsiTheme="minorHAnsi" w:cstheme="minorHAnsi"/>
                <w:sz w:val="22"/>
                <w:szCs w:val="22"/>
                <w:lang w:val="mk-MK"/>
              </w:rPr>
              <w:t xml:space="preserve">Поединечна основа, за сите изложености на кредитен ризик </w:t>
            </w:r>
          </w:p>
        </w:tc>
      </w:tr>
      <w:tr w:rsidR="004B4CD2" w:rsidRPr="004B4CD2" w14:paraId="4C45D5C5" w14:textId="77777777" w:rsidTr="00404624">
        <w:trPr>
          <w:trHeight w:val="1144"/>
        </w:trPr>
        <w:tc>
          <w:tcPr>
            <w:tcW w:w="1911" w:type="dxa"/>
            <w:vAlign w:val="center"/>
          </w:tcPr>
          <w:p w14:paraId="6045124D" w14:textId="77777777" w:rsidR="004B4CD2" w:rsidRPr="004B4CD2" w:rsidRDefault="004B4CD2" w:rsidP="00404624">
            <w:pPr>
              <w:rPr>
                <w:rFonts w:asciiTheme="minorHAnsi" w:hAnsiTheme="minorHAnsi" w:cstheme="minorHAnsi"/>
                <w:lang w:val="ru-RU"/>
              </w:rPr>
            </w:pPr>
            <w:r w:rsidRPr="004B4CD2">
              <w:rPr>
                <w:rFonts w:asciiTheme="minorHAnsi" w:hAnsiTheme="minorHAnsi" w:cstheme="minorHAnsi"/>
                <w:sz w:val="22"/>
                <w:szCs w:val="22"/>
                <w:lang w:val="ru-RU"/>
              </w:rPr>
              <w:t>Износот на изложеноста на кредитен ризик, пред и по извршената исправка на вредноста, односно по издвоената посебна резерва</w:t>
            </w:r>
          </w:p>
        </w:tc>
        <w:tc>
          <w:tcPr>
            <w:tcW w:w="7836" w:type="dxa"/>
            <w:vAlign w:val="center"/>
          </w:tcPr>
          <w:p w14:paraId="54DC09D6" w14:textId="22A3A74D" w:rsidR="004B4CD2" w:rsidRPr="00DD7409" w:rsidRDefault="004B4CD2" w:rsidP="00404624">
            <w:pPr>
              <w:spacing w:before="120"/>
              <w:rPr>
                <w:rFonts w:asciiTheme="minorHAnsi" w:hAnsiTheme="minorHAnsi" w:cstheme="minorHAnsi"/>
                <w:lang w:val="mk-MK"/>
              </w:rPr>
            </w:pPr>
            <w:r w:rsidRPr="004B4CD2">
              <w:rPr>
                <w:rFonts w:asciiTheme="minorHAnsi" w:hAnsiTheme="minorHAnsi" w:cstheme="minorHAnsi"/>
                <w:sz w:val="22"/>
                <w:szCs w:val="22"/>
                <w:lang w:val="mk-MK"/>
              </w:rPr>
              <w:t>Износот на изложеноста на кредитен ризик пред исправка</w:t>
            </w:r>
            <w:r w:rsidRPr="004B4CD2">
              <w:rPr>
                <w:rFonts w:asciiTheme="minorHAnsi" w:hAnsiTheme="minorHAnsi" w:cstheme="minorHAnsi"/>
                <w:sz w:val="22"/>
                <w:szCs w:val="22"/>
                <w:lang w:val="en-US"/>
              </w:rPr>
              <w:t xml:space="preserve">  MKD </w:t>
            </w:r>
            <w:r w:rsidRPr="004B4CD2">
              <w:rPr>
                <w:rFonts w:asciiTheme="minorHAnsi" w:hAnsiTheme="minorHAnsi" w:cstheme="minorHAnsi"/>
                <w:sz w:val="22"/>
                <w:szCs w:val="22"/>
                <w:lang w:val="mk-MK"/>
              </w:rPr>
              <w:t xml:space="preserve"> </w:t>
            </w:r>
            <w:r w:rsidR="007A3BBF">
              <w:rPr>
                <w:rFonts w:asciiTheme="minorHAnsi" w:hAnsiTheme="minorHAnsi" w:cstheme="minorHAnsi"/>
                <w:sz w:val="22"/>
                <w:szCs w:val="22"/>
                <w:lang w:val="en-US"/>
              </w:rPr>
              <w:t xml:space="preserve">6.291.129 </w:t>
            </w:r>
            <w:r w:rsidRPr="004B4CD2">
              <w:rPr>
                <w:rFonts w:asciiTheme="minorHAnsi" w:hAnsiTheme="minorHAnsi" w:cstheme="minorHAnsi"/>
                <w:sz w:val="22"/>
                <w:szCs w:val="22"/>
                <w:lang w:val="en-US"/>
              </w:rPr>
              <w:t>илјади</w:t>
            </w:r>
            <w:r w:rsidR="00DD7409">
              <w:rPr>
                <w:rFonts w:asciiTheme="minorHAnsi" w:hAnsiTheme="minorHAnsi" w:cstheme="minorHAnsi"/>
                <w:sz w:val="22"/>
                <w:szCs w:val="22"/>
                <w:lang w:val="en-US"/>
              </w:rPr>
              <w:t xml:space="preserve"> </w:t>
            </w:r>
          </w:p>
          <w:p w14:paraId="18723155" w14:textId="77777777" w:rsidR="004B4CD2" w:rsidRPr="004B4CD2" w:rsidRDefault="004B4CD2" w:rsidP="00404624">
            <w:pPr>
              <w:spacing w:after="120"/>
              <w:rPr>
                <w:rFonts w:asciiTheme="minorHAnsi" w:hAnsiTheme="minorHAnsi" w:cstheme="minorHAnsi"/>
                <w:lang w:val="mk-MK"/>
              </w:rPr>
            </w:pPr>
            <w:r w:rsidRPr="004B4CD2">
              <w:rPr>
                <w:rFonts w:asciiTheme="minorHAnsi" w:hAnsiTheme="minorHAnsi" w:cstheme="minorHAnsi"/>
                <w:sz w:val="22"/>
                <w:szCs w:val="22"/>
                <w:lang w:val="mk-MK"/>
              </w:rPr>
              <w:t xml:space="preserve">Исправка на вредност </w:t>
            </w:r>
            <w:r w:rsidRPr="004B4CD2">
              <w:rPr>
                <w:rFonts w:asciiTheme="minorHAnsi" w:hAnsiTheme="minorHAnsi" w:cstheme="minorHAnsi"/>
                <w:sz w:val="22"/>
                <w:szCs w:val="22"/>
                <w:lang w:val="en-US"/>
              </w:rPr>
              <w:t xml:space="preserve"> </w:t>
            </w:r>
            <w:r w:rsidRPr="004B4CD2">
              <w:rPr>
                <w:rFonts w:asciiTheme="minorHAnsi" w:hAnsiTheme="minorHAnsi" w:cstheme="minorHAnsi"/>
                <w:sz w:val="22"/>
                <w:szCs w:val="22"/>
                <w:lang w:val="mk-MK"/>
              </w:rPr>
              <w:t xml:space="preserve">МКД </w:t>
            </w:r>
            <w:r w:rsidR="007A3BBF">
              <w:rPr>
                <w:rFonts w:asciiTheme="minorHAnsi" w:hAnsiTheme="minorHAnsi" w:cstheme="minorHAnsi"/>
                <w:sz w:val="22"/>
                <w:szCs w:val="22"/>
                <w:lang w:val="en-US"/>
              </w:rPr>
              <w:t xml:space="preserve">142.319 </w:t>
            </w:r>
            <w:r w:rsidRPr="004B4CD2">
              <w:rPr>
                <w:rFonts w:asciiTheme="minorHAnsi" w:hAnsiTheme="minorHAnsi" w:cstheme="minorHAnsi"/>
                <w:sz w:val="22"/>
                <w:szCs w:val="22"/>
                <w:lang w:val="mk-MK"/>
              </w:rPr>
              <w:t>илјади</w:t>
            </w:r>
            <w:r w:rsidRPr="004B4CD2">
              <w:rPr>
                <w:rFonts w:asciiTheme="minorHAnsi" w:hAnsiTheme="minorHAnsi" w:cstheme="minorHAnsi"/>
                <w:sz w:val="22"/>
                <w:szCs w:val="22"/>
                <w:lang w:val="mk-MK"/>
              </w:rPr>
              <w:br/>
              <w:t xml:space="preserve">Износот на изложеноста на кредитен ризик по исправка </w:t>
            </w:r>
            <w:r w:rsidRPr="004B4CD2">
              <w:rPr>
                <w:rFonts w:asciiTheme="minorHAnsi" w:hAnsiTheme="minorHAnsi" w:cstheme="minorHAnsi"/>
                <w:sz w:val="22"/>
                <w:szCs w:val="22"/>
                <w:lang w:val="en-US"/>
              </w:rPr>
              <w:t xml:space="preserve"> </w:t>
            </w:r>
            <w:r w:rsidRPr="004B4CD2">
              <w:rPr>
                <w:rFonts w:asciiTheme="minorHAnsi" w:hAnsiTheme="minorHAnsi" w:cstheme="minorHAnsi"/>
                <w:sz w:val="22"/>
                <w:szCs w:val="22"/>
                <w:lang w:val="mk-MK"/>
              </w:rPr>
              <w:t>МКД</w:t>
            </w:r>
            <w:r w:rsidRPr="004B4CD2">
              <w:rPr>
                <w:rFonts w:asciiTheme="minorHAnsi" w:hAnsiTheme="minorHAnsi" w:cstheme="minorHAnsi"/>
                <w:sz w:val="22"/>
                <w:szCs w:val="22"/>
                <w:lang w:val="en-US"/>
              </w:rPr>
              <w:t xml:space="preserve"> </w:t>
            </w:r>
            <w:r w:rsidR="007A3BBF">
              <w:rPr>
                <w:rFonts w:asciiTheme="minorHAnsi" w:hAnsiTheme="minorHAnsi" w:cstheme="minorHAnsi"/>
                <w:sz w:val="22"/>
                <w:szCs w:val="22"/>
                <w:lang w:val="en-US"/>
              </w:rPr>
              <w:t xml:space="preserve">6.148.810 </w:t>
            </w:r>
            <w:r w:rsidRPr="004B4CD2">
              <w:rPr>
                <w:rFonts w:asciiTheme="minorHAnsi" w:hAnsiTheme="minorHAnsi" w:cstheme="minorHAnsi"/>
                <w:sz w:val="22"/>
                <w:szCs w:val="22"/>
                <w:lang w:val="mk-MK"/>
              </w:rPr>
              <w:t>илјади</w:t>
            </w:r>
          </w:p>
          <w:p w14:paraId="6FDB5481" w14:textId="77777777" w:rsidR="004B4CD2" w:rsidRPr="004B4CD2" w:rsidRDefault="004B4CD2" w:rsidP="00404624">
            <w:pPr>
              <w:spacing w:before="120" w:after="120"/>
              <w:rPr>
                <w:rFonts w:asciiTheme="minorHAnsi" w:hAnsiTheme="minorHAnsi" w:cstheme="minorHAnsi"/>
                <w:lang w:val="en-US"/>
              </w:rPr>
            </w:pPr>
          </w:p>
        </w:tc>
      </w:tr>
      <w:tr w:rsidR="004B4CD2" w:rsidRPr="004B4CD2" w14:paraId="7F8A4256" w14:textId="77777777" w:rsidTr="00404624">
        <w:tc>
          <w:tcPr>
            <w:tcW w:w="1911" w:type="dxa"/>
            <w:vAlign w:val="center"/>
          </w:tcPr>
          <w:p w14:paraId="2E26B89D" w14:textId="77777777" w:rsidR="004B4CD2" w:rsidRPr="004B4CD2" w:rsidRDefault="004B4CD2" w:rsidP="00404624">
            <w:pPr>
              <w:rPr>
                <w:rFonts w:asciiTheme="minorHAnsi" w:hAnsiTheme="minorHAnsi" w:cstheme="minorHAnsi"/>
                <w:lang w:val="ru-RU"/>
              </w:rPr>
            </w:pPr>
            <w:r w:rsidRPr="004B4CD2">
              <w:rPr>
                <w:rFonts w:asciiTheme="minorHAnsi" w:hAnsiTheme="minorHAnsi" w:cstheme="minorHAnsi"/>
                <w:sz w:val="22"/>
                <w:szCs w:val="22"/>
                <w:lang w:val="ru-RU"/>
              </w:rPr>
              <w:t xml:space="preserve">Просечната изложеност на кредитен ризик </w:t>
            </w:r>
            <w:r w:rsidRPr="004B4CD2">
              <w:rPr>
                <w:rFonts w:asciiTheme="minorHAnsi" w:hAnsiTheme="minorHAnsi" w:cstheme="minorHAnsi"/>
                <w:sz w:val="22"/>
                <w:szCs w:val="22"/>
                <w:lang w:val="ru-RU"/>
              </w:rPr>
              <w:lastRenderedPageBreak/>
              <w:t>за пери</w:t>
            </w:r>
            <w:r w:rsidRPr="004B4CD2">
              <w:rPr>
                <w:rFonts w:asciiTheme="minorHAnsi" w:hAnsiTheme="minorHAnsi" w:cstheme="minorHAnsi"/>
                <w:sz w:val="22"/>
                <w:szCs w:val="22"/>
                <w:lang w:val="ru-RU"/>
              </w:rPr>
              <w:softHyphen/>
              <w:t>одот за кој се објавува и изложеноста по одделни кате</w:t>
            </w:r>
            <w:r w:rsidRPr="004B4CD2">
              <w:rPr>
                <w:rFonts w:asciiTheme="minorHAnsi" w:hAnsiTheme="minorHAnsi" w:cstheme="minorHAnsi"/>
                <w:sz w:val="22"/>
                <w:szCs w:val="22"/>
                <w:lang w:val="ru-RU"/>
              </w:rPr>
              <w:softHyphen/>
              <w:t>гории на ризик</w:t>
            </w:r>
          </w:p>
        </w:tc>
        <w:tc>
          <w:tcPr>
            <w:tcW w:w="7836" w:type="dxa"/>
            <w:vAlign w:val="center"/>
          </w:tcPr>
          <w:p w14:paraId="1E8534E8" w14:textId="77777777" w:rsidR="004B4CD2" w:rsidRPr="004B4CD2" w:rsidRDefault="004B4CD2" w:rsidP="00404624">
            <w:pPr>
              <w:spacing w:before="60" w:after="60"/>
              <w:rPr>
                <w:rFonts w:asciiTheme="minorHAnsi" w:hAnsiTheme="minorHAnsi" w:cstheme="minorHAnsi"/>
                <w:lang w:val="mk-MK"/>
              </w:rPr>
            </w:pPr>
            <w:r w:rsidRPr="004B4CD2">
              <w:rPr>
                <w:rFonts w:asciiTheme="minorHAnsi" w:hAnsiTheme="minorHAnsi" w:cstheme="minorHAnsi"/>
                <w:sz w:val="22"/>
                <w:szCs w:val="22"/>
                <w:lang w:val="mk-MK"/>
              </w:rPr>
              <w:lastRenderedPageBreak/>
              <w:t>Просечна изложеност  на кредитен ризик</w:t>
            </w:r>
            <w:r w:rsidRPr="004B4CD2">
              <w:rPr>
                <w:rFonts w:asciiTheme="minorHAnsi" w:hAnsiTheme="minorHAnsi" w:cstheme="minorHAnsi"/>
                <w:sz w:val="22"/>
                <w:szCs w:val="22"/>
                <w:lang w:val="mk-MK"/>
              </w:rPr>
              <w:tab/>
              <w:t xml:space="preserve">МКД  </w:t>
            </w:r>
            <w:r w:rsidR="00404624">
              <w:rPr>
                <w:rFonts w:asciiTheme="minorHAnsi" w:hAnsiTheme="minorHAnsi" w:cstheme="minorHAnsi"/>
                <w:sz w:val="22"/>
                <w:szCs w:val="22"/>
                <w:lang w:val="en-US"/>
              </w:rPr>
              <w:t xml:space="preserve">6.301.239 </w:t>
            </w:r>
            <w:r w:rsidRPr="004B4CD2">
              <w:rPr>
                <w:rFonts w:asciiTheme="minorHAnsi" w:hAnsiTheme="minorHAnsi" w:cstheme="minorHAnsi"/>
                <w:sz w:val="22"/>
                <w:szCs w:val="22"/>
                <w:lang w:val="mk-MK"/>
              </w:rPr>
              <w:t>илјади</w:t>
            </w:r>
            <w:r w:rsidRPr="004B4CD2">
              <w:rPr>
                <w:rFonts w:asciiTheme="minorHAnsi" w:hAnsiTheme="minorHAnsi" w:cstheme="minorHAnsi"/>
                <w:sz w:val="22"/>
                <w:szCs w:val="22"/>
                <w:lang w:val="mk-MK"/>
              </w:rPr>
              <w:br/>
            </w:r>
          </w:p>
          <w:p w14:paraId="774B61E6" w14:textId="77777777" w:rsidR="004B4CD2" w:rsidRDefault="004B4CD2" w:rsidP="00404624">
            <w:pPr>
              <w:spacing w:before="60" w:after="60"/>
              <w:rPr>
                <w:rFonts w:asciiTheme="minorHAnsi" w:hAnsiTheme="minorHAnsi" w:cstheme="minorHAnsi"/>
                <w:lang w:val="mk-MK"/>
              </w:rPr>
            </w:pPr>
            <w:r w:rsidRPr="004B4CD2">
              <w:rPr>
                <w:rFonts w:asciiTheme="minorHAnsi" w:hAnsiTheme="minorHAnsi" w:cstheme="minorHAnsi"/>
                <w:sz w:val="22"/>
                <w:szCs w:val="22"/>
                <w:lang w:val="mk-MK"/>
              </w:rPr>
              <w:t>Изложеност по одделни категории на ризик:</w:t>
            </w:r>
          </w:p>
          <w:p w14:paraId="21F7A88C" w14:textId="77777777" w:rsidR="00452CA1" w:rsidRPr="004B4CD2" w:rsidRDefault="00452CA1" w:rsidP="00404624">
            <w:pPr>
              <w:spacing w:before="60" w:after="60"/>
              <w:rPr>
                <w:rFonts w:asciiTheme="minorHAnsi" w:hAnsiTheme="minorHAnsi" w:cstheme="minorHAnsi"/>
                <w:lang w:val="mk-MK"/>
              </w:rPr>
            </w:pPr>
          </w:p>
          <w:p w14:paraId="3509BD3B" w14:textId="77777777" w:rsidR="004B4CD2" w:rsidRPr="004B4CD2" w:rsidRDefault="004B4CD2" w:rsidP="00452CA1">
            <w:pPr>
              <w:spacing w:line="276" w:lineRule="auto"/>
              <w:rPr>
                <w:rFonts w:asciiTheme="minorHAnsi" w:hAnsiTheme="minorHAnsi" w:cstheme="minorHAnsi"/>
              </w:rPr>
            </w:pPr>
            <w:r w:rsidRPr="004B4CD2">
              <w:rPr>
                <w:rFonts w:asciiTheme="minorHAnsi" w:hAnsiTheme="minorHAnsi" w:cstheme="minorHAnsi"/>
                <w:sz w:val="22"/>
                <w:szCs w:val="22"/>
                <w:lang w:val="mk-MK"/>
              </w:rPr>
              <w:t xml:space="preserve">Категорија на ризик А    МКД </w:t>
            </w:r>
            <w:r w:rsidR="00404624">
              <w:rPr>
                <w:rFonts w:asciiTheme="minorHAnsi" w:hAnsiTheme="minorHAnsi" w:cstheme="minorHAnsi"/>
                <w:sz w:val="22"/>
                <w:szCs w:val="22"/>
                <w:lang w:val="en-US"/>
              </w:rPr>
              <w:t xml:space="preserve">5.771.348 </w:t>
            </w:r>
            <w:r w:rsidRPr="004B4CD2">
              <w:rPr>
                <w:rFonts w:asciiTheme="minorHAnsi" w:hAnsiTheme="minorHAnsi" w:cstheme="minorHAnsi"/>
                <w:sz w:val="22"/>
                <w:szCs w:val="22"/>
                <w:lang w:val="mk-MK"/>
              </w:rPr>
              <w:t>илјади</w:t>
            </w:r>
          </w:p>
          <w:p w14:paraId="51AD4704" w14:textId="77777777" w:rsidR="004B4CD2" w:rsidRPr="004B4CD2" w:rsidRDefault="004B4CD2" w:rsidP="00452CA1">
            <w:pPr>
              <w:spacing w:line="276" w:lineRule="auto"/>
              <w:rPr>
                <w:rFonts w:asciiTheme="minorHAnsi" w:hAnsiTheme="minorHAnsi" w:cstheme="minorHAnsi"/>
                <w:lang w:val="mk-MK"/>
              </w:rPr>
            </w:pPr>
            <w:r w:rsidRPr="004B4CD2">
              <w:rPr>
                <w:rFonts w:asciiTheme="minorHAnsi" w:hAnsiTheme="minorHAnsi" w:cstheme="minorHAnsi"/>
                <w:sz w:val="22"/>
                <w:szCs w:val="22"/>
                <w:lang w:val="mk-MK"/>
              </w:rPr>
              <w:t xml:space="preserve">Категорија на ризик Б   МКД </w:t>
            </w:r>
            <w:r w:rsidR="00404624">
              <w:rPr>
                <w:rFonts w:asciiTheme="minorHAnsi" w:hAnsiTheme="minorHAnsi" w:cstheme="minorHAnsi"/>
                <w:sz w:val="22"/>
                <w:szCs w:val="22"/>
                <w:lang w:val="en-US"/>
              </w:rPr>
              <w:t xml:space="preserve">206.664 </w:t>
            </w:r>
            <w:r w:rsidRPr="004B4CD2">
              <w:rPr>
                <w:rFonts w:asciiTheme="minorHAnsi" w:hAnsiTheme="minorHAnsi" w:cstheme="minorHAnsi"/>
                <w:sz w:val="22"/>
                <w:szCs w:val="22"/>
                <w:lang w:val="mk-MK"/>
              </w:rPr>
              <w:t>илјади</w:t>
            </w:r>
            <w:r w:rsidRPr="004B4CD2">
              <w:rPr>
                <w:rFonts w:asciiTheme="minorHAnsi" w:hAnsiTheme="minorHAnsi" w:cstheme="minorHAnsi"/>
                <w:sz w:val="22"/>
                <w:szCs w:val="22"/>
                <w:lang w:val="mk-MK"/>
              </w:rPr>
              <w:br/>
              <w:t xml:space="preserve">Категорија на ризик В   МКД </w:t>
            </w:r>
            <w:r w:rsidR="00404624">
              <w:rPr>
                <w:rFonts w:asciiTheme="minorHAnsi" w:hAnsiTheme="minorHAnsi" w:cstheme="minorHAnsi"/>
                <w:sz w:val="22"/>
                <w:szCs w:val="22"/>
                <w:lang w:val="en-US"/>
              </w:rPr>
              <w:t xml:space="preserve">148.198 </w:t>
            </w:r>
            <w:r w:rsidRPr="004B4CD2">
              <w:rPr>
                <w:rFonts w:asciiTheme="minorHAnsi" w:hAnsiTheme="minorHAnsi" w:cstheme="minorHAnsi"/>
                <w:sz w:val="22"/>
                <w:szCs w:val="22"/>
                <w:lang w:val="mk-MK"/>
              </w:rPr>
              <w:t>илјади</w:t>
            </w:r>
            <w:r w:rsidRPr="004B4CD2">
              <w:rPr>
                <w:rFonts w:asciiTheme="minorHAnsi" w:hAnsiTheme="minorHAnsi" w:cstheme="minorHAnsi"/>
                <w:sz w:val="22"/>
                <w:szCs w:val="22"/>
                <w:lang w:val="mk-MK"/>
              </w:rPr>
              <w:br/>
              <w:t xml:space="preserve">Категорија на ризик Г    МКД  </w:t>
            </w:r>
            <w:r w:rsidRPr="004B4CD2">
              <w:rPr>
                <w:rFonts w:asciiTheme="minorHAnsi" w:hAnsiTheme="minorHAnsi" w:cstheme="minorHAnsi"/>
                <w:sz w:val="22"/>
                <w:szCs w:val="22"/>
                <w:lang w:val="en-US"/>
              </w:rPr>
              <w:t xml:space="preserve"> </w:t>
            </w:r>
            <w:r w:rsidR="00404624">
              <w:rPr>
                <w:rFonts w:asciiTheme="minorHAnsi" w:hAnsiTheme="minorHAnsi" w:cstheme="minorHAnsi"/>
                <w:sz w:val="22"/>
                <w:szCs w:val="22"/>
                <w:lang w:val="en-US"/>
              </w:rPr>
              <w:t xml:space="preserve">14.529 </w:t>
            </w:r>
            <w:r w:rsidRPr="004B4CD2">
              <w:rPr>
                <w:rFonts w:asciiTheme="minorHAnsi" w:hAnsiTheme="minorHAnsi" w:cstheme="minorHAnsi"/>
                <w:sz w:val="22"/>
                <w:szCs w:val="22"/>
                <w:lang w:val="mk-MK"/>
              </w:rPr>
              <w:t>илјади</w:t>
            </w:r>
            <w:r w:rsidRPr="004B4CD2">
              <w:rPr>
                <w:rFonts w:asciiTheme="minorHAnsi" w:hAnsiTheme="minorHAnsi" w:cstheme="minorHAnsi"/>
                <w:sz w:val="22"/>
                <w:szCs w:val="22"/>
                <w:lang w:val="mk-MK"/>
              </w:rPr>
              <w:br/>
              <w:t xml:space="preserve">Категорија на ризик Д   МКД </w:t>
            </w:r>
            <w:r w:rsidR="00404624">
              <w:rPr>
                <w:rFonts w:asciiTheme="minorHAnsi" w:hAnsiTheme="minorHAnsi" w:cstheme="minorHAnsi"/>
                <w:sz w:val="22"/>
                <w:szCs w:val="22"/>
                <w:lang w:val="en-US"/>
              </w:rPr>
              <w:t xml:space="preserve">160.499 </w:t>
            </w:r>
            <w:r w:rsidRPr="004B4CD2">
              <w:rPr>
                <w:rFonts w:asciiTheme="minorHAnsi" w:hAnsiTheme="minorHAnsi" w:cstheme="minorHAnsi"/>
                <w:sz w:val="22"/>
                <w:szCs w:val="22"/>
                <w:lang w:val="mk-MK"/>
              </w:rPr>
              <w:t>илјади</w:t>
            </w:r>
          </w:p>
        </w:tc>
      </w:tr>
      <w:tr w:rsidR="004B4CD2" w:rsidRPr="004B4CD2" w14:paraId="6274F616" w14:textId="77777777" w:rsidTr="00404624">
        <w:tc>
          <w:tcPr>
            <w:tcW w:w="1911" w:type="dxa"/>
            <w:vAlign w:val="center"/>
          </w:tcPr>
          <w:p w14:paraId="761FCDEE" w14:textId="77777777" w:rsidR="004B4CD2" w:rsidRPr="004B4CD2" w:rsidRDefault="004B4CD2" w:rsidP="00404624">
            <w:pPr>
              <w:rPr>
                <w:rFonts w:asciiTheme="minorHAnsi" w:hAnsiTheme="minorHAnsi" w:cstheme="minorHAnsi"/>
                <w:lang w:val="ru-RU"/>
              </w:rPr>
            </w:pPr>
            <w:r w:rsidRPr="004B4CD2">
              <w:rPr>
                <w:rFonts w:asciiTheme="minorHAnsi" w:hAnsiTheme="minorHAnsi" w:cstheme="minorHAnsi"/>
                <w:sz w:val="22"/>
                <w:szCs w:val="22"/>
                <w:lang w:val="ru-RU"/>
              </w:rPr>
              <w:lastRenderedPageBreak/>
              <w:t>Износот на достасаните кредити</w:t>
            </w:r>
          </w:p>
        </w:tc>
        <w:tc>
          <w:tcPr>
            <w:tcW w:w="7836" w:type="dxa"/>
            <w:vAlign w:val="center"/>
          </w:tcPr>
          <w:p w14:paraId="3D2C2ADB" w14:textId="77777777" w:rsidR="004B4CD2" w:rsidRPr="004B4CD2" w:rsidRDefault="00F50F81" w:rsidP="00404624">
            <w:pPr>
              <w:spacing w:before="120" w:after="120"/>
              <w:rPr>
                <w:rFonts w:asciiTheme="minorHAnsi" w:hAnsiTheme="minorHAnsi" w:cstheme="minorHAnsi"/>
                <w:lang w:val="mk-MK"/>
              </w:rPr>
            </w:pPr>
            <w:r>
              <w:rPr>
                <w:rFonts w:asciiTheme="minorHAnsi" w:hAnsiTheme="minorHAnsi" w:cstheme="minorHAnsi"/>
                <w:sz w:val="22"/>
                <w:szCs w:val="22"/>
                <w:lang w:val="en-US"/>
              </w:rPr>
              <w:t xml:space="preserve">106.104 </w:t>
            </w:r>
            <w:r w:rsidR="004B4CD2" w:rsidRPr="004B4CD2">
              <w:rPr>
                <w:rFonts w:asciiTheme="minorHAnsi" w:hAnsiTheme="minorHAnsi" w:cstheme="minorHAnsi"/>
                <w:sz w:val="22"/>
                <w:szCs w:val="22"/>
                <w:lang w:val="mk-MK"/>
              </w:rPr>
              <w:t>илјади денари (во овој износ се вклучени и нефункционалните кредити)</w:t>
            </w:r>
          </w:p>
        </w:tc>
      </w:tr>
      <w:tr w:rsidR="004B4CD2" w:rsidRPr="004B4CD2" w14:paraId="0D93E61E" w14:textId="77777777" w:rsidTr="00404624">
        <w:tc>
          <w:tcPr>
            <w:tcW w:w="1911" w:type="dxa"/>
            <w:vAlign w:val="center"/>
          </w:tcPr>
          <w:p w14:paraId="3C11A4BA" w14:textId="77777777" w:rsidR="004B4CD2" w:rsidRPr="004B4CD2" w:rsidRDefault="004B4CD2" w:rsidP="00404624">
            <w:pPr>
              <w:rPr>
                <w:rFonts w:asciiTheme="minorHAnsi" w:hAnsiTheme="minorHAnsi" w:cstheme="minorHAnsi"/>
                <w:lang w:val="ru-RU"/>
              </w:rPr>
            </w:pPr>
            <w:r w:rsidRPr="004B4CD2">
              <w:rPr>
                <w:rFonts w:asciiTheme="minorHAnsi" w:hAnsiTheme="minorHAnsi" w:cstheme="minorHAnsi"/>
                <w:sz w:val="22"/>
                <w:szCs w:val="22"/>
                <w:lang w:val="ru-RU"/>
              </w:rPr>
              <w:t>Износот на изложеностите на кредитен ризик за кои е извршена исправка на вредноста, односно е издвоена посебна резерва</w:t>
            </w:r>
          </w:p>
        </w:tc>
        <w:tc>
          <w:tcPr>
            <w:tcW w:w="7836" w:type="dxa"/>
            <w:vAlign w:val="center"/>
          </w:tcPr>
          <w:p w14:paraId="0BE93B48" w14:textId="77777777" w:rsidR="004B4CD2" w:rsidRPr="004B4CD2" w:rsidRDefault="001D5207" w:rsidP="00404624">
            <w:pPr>
              <w:spacing w:before="120" w:after="120"/>
              <w:rPr>
                <w:rFonts w:asciiTheme="minorHAnsi" w:hAnsiTheme="minorHAnsi" w:cstheme="minorHAnsi"/>
                <w:lang w:val="mk-MK"/>
              </w:rPr>
            </w:pPr>
            <w:r>
              <w:rPr>
                <w:rFonts w:asciiTheme="minorHAnsi" w:hAnsiTheme="minorHAnsi" w:cstheme="minorHAnsi"/>
                <w:sz w:val="22"/>
                <w:szCs w:val="22"/>
                <w:lang w:val="en-US"/>
              </w:rPr>
              <w:t xml:space="preserve">5.583.533 </w:t>
            </w:r>
            <w:r w:rsidR="004B4CD2" w:rsidRPr="004B4CD2">
              <w:rPr>
                <w:rFonts w:asciiTheme="minorHAnsi" w:hAnsiTheme="minorHAnsi" w:cstheme="minorHAnsi"/>
                <w:sz w:val="22"/>
                <w:szCs w:val="22"/>
                <w:lang w:val="mk-MK"/>
              </w:rPr>
              <w:t>илјади денари</w:t>
            </w:r>
          </w:p>
        </w:tc>
      </w:tr>
      <w:tr w:rsidR="004B4CD2" w:rsidRPr="004B4CD2" w14:paraId="588480EC" w14:textId="77777777" w:rsidTr="00404624">
        <w:tc>
          <w:tcPr>
            <w:tcW w:w="1911" w:type="dxa"/>
            <w:vAlign w:val="center"/>
          </w:tcPr>
          <w:p w14:paraId="7DEFBFC5" w14:textId="77777777" w:rsidR="004B4CD2" w:rsidRPr="004B4CD2" w:rsidRDefault="004B4CD2" w:rsidP="00404624">
            <w:pPr>
              <w:rPr>
                <w:rFonts w:asciiTheme="minorHAnsi" w:hAnsiTheme="minorHAnsi" w:cstheme="minorHAnsi"/>
                <w:lang w:val="ru-RU"/>
              </w:rPr>
            </w:pPr>
            <w:r w:rsidRPr="004B4CD2">
              <w:rPr>
                <w:rFonts w:asciiTheme="minorHAnsi" w:hAnsiTheme="minorHAnsi" w:cstheme="minorHAnsi"/>
                <w:sz w:val="22"/>
                <w:szCs w:val="22"/>
                <w:lang w:val="ru-RU"/>
              </w:rPr>
              <w:t>Географската дистрибуција на изложеноста на кре</w:t>
            </w:r>
            <w:r w:rsidRPr="004B4CD2">
              <w:rPr>
                <w:rFonts w:asciiTheme="minorHAnsi" w:hAnsiTheme="minorHAnsi" w:cstheme="minorHAnsi"/>
                <w:sz w:val="22"/>
                <w:szCs w:val="22"/>
                <w:lang w:val="ru-RU"/>
              </w:rPr>
              <w:softHyphen/>
              <w:t xml:space="preserve">дитен ризик </w:t>
            </w:r>
            <w:r w:rsidR="00230F2D">
              <w:rPr>
                <w:rFonts w:asciiTheme="minorHAnsi" w:hAnsiTheme="minorHAnsi" w:cstheme="minorHAnsi"/>
                <w:sz w:val="22"/>
                <w:szCs w:val="22"/>
                <w:lang w:val="ru-RU"/>
              </w:rPr>
              <w:t>–</w:t>
            </w:r>
            <w:r w:rsidRPr="004B4CD2">
              <w:rPr>
                <w:rFonts w:asciiTheme="minorHAnsi" w:hAnsiTheme="minorHAnsi" w:cstheme="minorHAnsi"/>
                <w:sz w:val="22"/>
                <w:szCs w:val="22"/>
                <w:lang w:val="ru-RU"/>
              </w:rPr>
              <w:t xml:space="preserve"> Република</w:t>
            </w:r>
            <w:r w:rsidR="00230F2D">
              <w:rPr>
                <w:rFonts w:asciiTheme="minorHAnsi" w:hAnsiTheme="minorHAnsi" w:cstheme="minorHAnsi"/>
                <w:sz w:val="22"/>
                <w:szCs w:val="22"/>
                <w:lang w:val="en-US"/>
              </w:rPr>
              <w:t xml:space="preserve"> </w:t>
            </w:r>
            <w:r w:rsidR="00230F2D">
              <w:rPr>
                <w:rFonts w:asciiTheme="minorHAnsi" w:hAnsiTheme="minorHAnsi" w:cstheme="minorHAnsi"/>
                <w:sz w:val="22"/>
                <w:szCs w:val="22"/>
                <w:lang w:val="mk-MK"/>
              </w:rPr>
              <w:t xml:space="preserve">Северна </w:t>
            </w:r>
            <w:r w:rsidRPr="004B4CD2">
              <w:rPr>
                <w:rFonts w:asciiTheme="minorHAnsi" w:hAnsiTheme="minorHAnsi" w:cstheme="minorHAnsi"/>
                <w:sz w:val="22"/>
                <w:szCs w:val="22"/>
                <w:lang w:val="ru-RU"/>
              </w:rPr>
              <w:t xml:space="preserve"> Македонија, земјите-членки на ЕУ, останатите земји во Европа, земјите-членки на ОЕЦД (со исклучок на земјите од Европа), останати земји</w:t>
            </w:r>
          </w:p>
        </w:tc>
        <w:tc>
          <w:tcPr>
            <w:tcW w:w="7836" w:type="dxa"/>
            <w:vAlign w:val="center"/>
          </w:tcPr>
          <w:p w14:paraId="719CF594" w14:textId="77777777" w:rsidR="004B4CD2" w:rsidRPr="004B4CD2" w:rsidRDefault="004B4CD2" w:rsidP="00404624">
            <w:pPr>
              <w:spacing w:before="120"/>
              <w:rPr>
                <w:rFonts w:asciiTheme="minorHAnsi" w:hAnsiTheme="minorHAnsi" w:cstheme="minorHAnsi"/>
                <w:lang w:val="mk-MK"/>
              </w:rPr>
            </w:pPr>
            <w:r w:rsidRPr="004B4CD2">
              <w:rPr>
                <w:rFonts w:asciiTheme="minorHAnsi" w:hAnsiTheme="minorHAnsi" w:cstheme="minorHAnsi"/>
                <w:sz w:val="22"/>
                <w:szCs w:val="22"/>
                <w:lang w:val="mk-MK"/>
              </w:rPr>
              <w:t xml:space="preserve">Република </w:t>
            </w:r>
            <w:r w:rsidR="00230F2D">
              <w:rPr>
                <w:rFonts w:asciiTheme="minorHAnsi" w:hAnsiTheme="minorHAnsi" w:cstheme="minorHAnsi"/>
                <w:sz w:val="22"/>
                <w:szCs w:val="22"/>
                <w:lang w:val="mk-MK"/>
              </w:rPr>
              <w:t xml:space="preserve">Северна </w:t>
            </w:r>
            <w:r w:rsidRPr="004B4CD2">
              <w:rPr>
                <w:rFonts w:asciiTheme="minorHAnsi" w:hAnsiTheme="minorHAnsi" w:cstheme="minorHAnsi"/>
                <w:sz w:val="22"/>
                <w:szCs w:val="22"/>
                <w:lang w:val="mk-MK"/>
              </w:rPr>
              <w:t xml:space="preserve">Македонија = </w:t>
            </w:r>
            <w:r w:rsidR="00815AFE">
              <w:rPr>
                <w:rFonts w:asciiTheme="minorHAnsi" w:hAnsiTheme="minorHAnsi" w:cstheme="minorHAnsi"/>
                <w:sz w:val="22"/>
                <w:szCs w:val="22"/>
                <w:lang w:val="en-US"/>
              </w:rPr>
              <w:t xml:space="preserve">5.840.806 </w:t>
            </w:r>
            <w:r w:rsidRPr="004B4CD2">
              <w:rPr>
                <w:rFonts w:asciiTheme="minorHAnsi" w:hAnsiTheme="minorHAnsi" w:cstheme="minorHAnsi"/>
                <w:sz w:val="22"/>
                <w:szCs w:val="22"/>
                <w:lang w:val="mk-MK"/>
              </w:rPr>
              <w:t>илјади денари</w:t>
            </w:r>
            <w:r w:rsidRPr="004B4CD2">
              <w:rPr>
                <w:rFonts w:asciiTheme="minorHAnsi" w:hAnsiTheme="minorHAnsi" w:cstheme="minorHAnsi"/>
                <w:sz w:val="22"/>
                <w:szCs w:val="22"/>
                <w:lang w:val="mk-MK"/>
              </w:rPr>
              <w:br/>
              <w:t xml:space="preserve">земјите-членки на ЕУ = </w:t>
            </w:r>
            <w:r w:rsidR="00815AFE">
              <w:rPr>
                <w:rFonts w:asciiTheme="minorHAnsi" w:hAnsiTheme="minorHAnsi" w:cstheme="minorHAnsi"/>
                <w:sz w:val="22"/>
                <w:szCs w:val="22"/>
                <w:lang w:val="en-US"/>
              </w:rPr>
              <w:t xml:space="preserve">98.965 </w:t>
            </w:r>
            <w:r w:rsidRPr="004B4CD2">
              <w:rPr>
                <w:rFonts w:asciiTheme="minorHAnsi" w:hAnsiTheme="minorHAnsi" w:cstheme="minorHAnsi"/>
                <w:sz w:val="22"/>
                <w:szCs w:val="22"/>
                <w:lang w:val="mk-MK"/>
              </w:rPr>
              <w:t xml:space="preserve">илјади денари </w:t>
            </w:r>
          </w:p>
          <w:p w14:paraId="2D862946" w14:textId="77777777" w:rsidR="004B4CD2" w:rsidRPr="004B4CD2" w:rsidRDefault="004B4CD2" w:rsidP="00404624">
            <w:pPr>
              <w:spacing w:before="120"/>
              <w:rPr>
                <w:rFonts w:asciiTheme="minorHAnsi" w:hAnsiTheme="minorHAnsi" w:cstheme="minorHAnsi"/>
                <w:lang w:val="mk-MK"/>
              </w:rPr>
            </w:pPr>
            <w:r w:rsidRPr="004B4CD2">
              <w:rPr>
                <w:rFonts w:asciiTheme="minorHAnsi" w:hAnsiTheme="minorHAnsi" w:cstheme="minorHAnsi"/>
                <w:sz w:val="22"/>
                <w:szCs w:val="22"/>
                <w:lang w:val="mk-MK"/>
              </w:rPr>
              <w:t xml:space="preserve">останати земји во Европа= </w:t>
            </w:r>
            <w:r w:rsidR="00815AFE">
              <w:rPr>
                <w:rFonts w:asciiTheme="minorHAnsi" w:hAnsiTheme="minorHAnsi" w:cstheme="minorHAnsi"/>
                <w:sz w:val="22"/>
                <w:szCs w:val="22"/>
                <w:lang w:val="en-US"/>
              </w:rPr>
              <w:t xml:space="preserve">204.016 </w:t>
            </w:r>
            <w:r w:rsidRPr="004B4CD2">
              <w:rPr>
                <w:rFonts w:asciiTheme="minorHAnsi" w:hAnsiTheme="minorHAnsi" w:cstheme="minorHAnsi"/>
                <w:sz w:val="22"/>
                <w:szCs w:val="22"/>
                <w:lang w:val="mk-MK"/>
              </w:rPr>
              <w:t>илјади денари</w:t>
            </w:r>
          </w:p>
          <w:p w14:paraId="0EEA3BAC" w14:textId="77777777" w:rsidR="00815AFE" w:rsidRDefault="004B4CD2" w:rsidP="00815AFE">
            <w:pPr>
              <w:rPr>
                <w:rFonts w:asciiTheme="minorHAnsi" w:hAnsiTheme="minorHAnsi" w:cstheme="minorHAnsi"/>
                <w:lang w:val="en-US"/>
              </w:rPr>
            </w:pPr>
            <w:r w:rsidRPr="004B4CD2">
              <w:rPr>
                <w:rFonts w:asciiTheme="minorHAnsi" w:hAnsiTheme="minorHAnsi" w:cstheme="minorHAnsi"/>
                <w:sz w:val="22"/>
                <w:szCs w:val="22"/>
                <w:lang w:val="mk-MK"/>
              </w:rPr>
              <w:t xml:space="preserve">земјите-членки на ОЕЦД (со исклучок на земјите од Европа) = </w:t>
            </w:r>
            <w:r w:rsidR="00815AFE">
              <w:rPr>
                <w:rFonts w:asciiTheme="minorHAnsi" w:hAnsiTheme="minorHAnsi" w:cstheme="minorHAnsi"/>
                <w:sz w:val="22"/>
                <w:szCs w:val="22"/>
                <w:lang w:val="en-US"/>
              </w:rPr>
              <w:t>5.024</w:t>
            </w:r>
          </w:p>
          <w:p w14:paraId="4AFFF5C6" w14:textId="77777777" w:rsidR="004B4CD2" w:rsidRPr="004B4CD2" w:rsidRDefault="004B4CD2" w:rsidP="00815AFE">
            <w:pPr>
              <w:rPr>
                <w:rFonts w:asciiTheme="minorHAnsi" w:hAnsiTheme="minorHAnsi" w:cstheme="minorHAnsi"/>
                <w:lang w:val="mk-MK"/>
              </w:rPr>
            </w:pPr>
            <w:r w:rsidRPr="004B4CD2">
              <w:rPr>
                <w:rFonts w:asciiTheme="minorHAnsi" w:hAnsiTheme="minorHAnsi" w:cstheme="minorHAnsi"/>
                <w:sz w:val="22"/>
                <w:szCs w:val="22"/>
                <w:lang w:val="mk-MK"/>
              </w:rPr>
              <w:t xml:space="preserve">илјади денари </w:t>
            </w:r>
          </w:p>
        </w:tc>
      </w:tr>
      <w:tr w:rsidR="004B4CD2" w:rsidRPr="004B4CD2" w14:paraId="1BCE66EB" w14:textId="77777777" w:rsidTr="00404624">
        <w:tc>
          <w:tcPr>
            <w:tcW w:w="1911" w:type="dxa"/>
            <w:vAlign w:val="center"/>
          </w:tcPr>
          <w:p w14:paraId="6E52CF53" w14:textId="77777777" w:rsidR="004B4CD2" w:rsidRPr="004B4CD2" w:rsidRDefault="004B4CD2" w:rsidP="00404624">
            <w:pPr>
              <w:rPr>
                <w:rFonts w:asciiTheme="minorHAnsi" w:hAnsiTheme="minorHAnsi" w:cstheme="minorHAnsi"/>
                <w:lang w:val="ru-RU"/>
              </w:rPr>
            </w:pPr>
            <w:r w:rsidRPr="004B4CD2">
              <w:rPr>
                <w:rFonts w:asciiTheme="minorHAnsi" w:hAnsiTheme="minorHAnsi" w:cstheme="minorHAnsi"/>
                <w:sz w:val="22"/>
                <w:szCs w:val="22"/>
                <w:lang w:val="ru-RU"/>
              </w:rPr>
              <w:t>Секторската дистрибуција на изложеноста на кре</w:t>
            </w:r>
            <w:r w:rsidRPr="004B4CD2">
              <w:rPr>
                <w:rFonts w:asciiTheme="minorHAnsi" w:hAnsiTheme="minorHAnsi" w:cstheme="minorHAnsi"/>
                <w:sz w:val="22"/>
                <w:szCs w:val="22"/>
                <w:lang w:val="ru-RU"/>
              </w:rPr>
              <w:softHyphen/>
              <w:t>дитен ризик – изложеност кон банки, други финансиски институции, нефинансиски институции, домаќинства, држава, непрофитни институции кои им служат на домаќинствата, нерезиденти</w:t>
            </w:r>
          </w:p>
        </w:tc>
        <w:tc>
          <w:tcPr>
            <w:tcW w:w="7836" w:type="dxa"/>
            <w:vAlign w:val="center"/>
          </w:tcPr>
          <w:p w14:paraId="79E88B13" w14:textId="77777777" w:rsidR="004B4CD2" w:rsidRPr="004B4CD2" w:rsidRDefault="004B4CD2" w:rsidP="00404624">
            <w:pPr>
              <w:rPr>
                <w:rFonts w:asciiTheme="minorHAnsi" w:hAnsiTheme="minorHAnsi" w:cstheme="minorHAnsi"/>
                <w:lang w:val="mk-MK"/>
              </w:rPr>
            </w:pPr>
            <w:r w:rsidRPr="004B4CD2">
              <w:rPr>
                <w:rFonts w:asciiTheme="minorHAnsi" w:hAnsiTheme="minorHAnsi" w:cstheme="minorHAnsi"/>
                <w:sz w:val="22"/>
                <w:szCs w:val="22"/>
                <w:lang w:val="mk-MK"/>
              </w:rPr>
              <w:t>Износи во илјади МКД:</w:t>
            </w:r>
          </w:p>
          <w:p w14:paraId="692C55B4" w14:textId="77777777" w:rsidR="004B4CD2" w:rsidRPr="004B4CD2" w:rsidRDefault="004B4CD2" w:rsidP="00404624">
            <w:pPr>
              <w:rPr>
                <w:rFonts w:asciiTheme="minorHAnsi" w:hAnsiTheme="minorHAnsi" w:cstheme="minorHAnsi"/>
                <w:lang w:val="en-US"/>
              </w:rPr>
            </w:pPr>
          </w:p>
          <w:p w14:paraId="64E0D9B1" w14:textId="77777777" w:rsidR="00230F2D" w:rsidRPr="00452CA1" w:rsidRDefault="00452CA1" w:rsidP="00452CA1">
            <w:pPr>
              <w:pStyle w:val="ListParagraph"/>
              <w:numPr>
                <w:ilvl w:val="0"/>
                <w:numId w:val="11"/>
              </w:numPr>
              <w:rPr>
                <w:rFonts w:asciiTheme="minorHAnsi" w:hAnsiTheme="minorHAnsi" w:cstheme="minorHAnsi"/>
                <w:lang w:val="mk-MK"/>
              </w:rPr>
            </w:pPr>
            <w:r w:rsidRPr="00452CA1">
              <w:rPr>
                <w:rFonts w:asciiTheme="minorHAnsi" w:hAnsiTheme="minorHAnsi" w:cstheme="minorHAnsi"/>
                <w:sz w:val="22"/>
                <w:szCs w:val="22"/>
                <w:lang w:val="mk-MK"/>
              </w:rPr>
              <w:t>З</w:t>
            </w:r>
            <w:r w:rsidR="004B4CD2" w:rsidRPr="00452CA1">
              <w:rPr>
                <w:rFonts w:asciiTheme="minorHAnsi" w:hAnsiTheme="minorHAnsi" w:cstheme="minorHAnsi"/>
                <w:sz w:val="22"/>
                <w:szCs w:val="22"/>
                <w:lang w:val="mk-MK"/>
              </w:rPr>
              <w:t xml:space="preserve">емјоделство, лов и шумарство и рибарство </w:t>
            </w:r>
            <w:r w:rsidR="00AE336B" w:rsidRPr="00452CA1">
              <w:rPr>
                <w:rFonts w:asciiTheme="minorHAnsi" w:hAnsiTheme="minorHAnsi" w:cstheme="minorHAnsi"/>
                <w:sz w:val="22"/>
                <w:szCs w:val="22"/>
                <w:lang w:val="en-US"/>
              </w:rPr>
              <w:t>3.586</w:t>
            </w:r>
          </w:p>
          <w:p w14:paraId="210C4C72" w14:textId="77777777" w:rsidR="004B4CD2" w:rsidRPr="00452CA1" w:rsidRDefault="00452CA1" w:rsidP="00452CA1">
            <w:pPr>
              <w:pStyle w:val="ListParagraph"/>
              <w:numPr>
                <w:ilvl w:val="0"/>
                <w:numId w:val="11"/>
              </w:numPr>
              <w:rPr>
                <w:rFonts w:asciiTheme="minorHAnsi" w:hAnsiTheme="minorHAnsi" w:cstheme="minorHAnsi"/>
                <w:lang w:val="en-US"/>
              </w:rPr>
            </w:pPr>
            <w:r>
              <w:rPr>
                <w:rFonts w:asciiTheme="minorHAnsi" w:hAnsiTheme="minorHAnsi" w:cstheme="minorHAnsi"/>
                <w:sz w:val="22"/>
                <w:szCs w:val="22"/>
                <w:lang w:val="mk-MK"/>
              </w:rPr>
              <w:t>Р</w:t>
            </w:r>
            <w:r w:rsidR="004B4CD2" w:rsidRPr="00452CA1">
              <w:rPr>
                <w:rFonts w:asciiTheme="minorHAnsi" w:hAnsiTheme="minorHAnsi" w:cstheme="minorHAnsi"/>
                <w:sz w:val="22"/>
                <w:szCs w:val="22"/>
                <w:lang w:val="mk-MK"/>
              </w:rPr>
              <w:t xml:space="preserve">удартво и вадење на камен </w:t>
            </w:r>
            <w:r w:rsidR="00AE336B" w:rsidRPr="00452CA1">
              <w:rPr>
                <w:rFonts w:asciiTheme="minorHAnsi" w:hAnsiTheme="minorHAnsi" w:cstheme="minorHAnsi"/>
                <w:sz w:val="22"/>
                <w:szCs w:val="22"/>
                <w:lang w:val="en-US"/>
              </w:rPr>
              <w:t>73.819</w:t>
            </w:r>
          </w:p>
          <w:p w14:paraId="6FDD6F87" w14:textId="77777777" w:rsidR="00230F2D" w:rsidRPr="00452CA1" w:rsidRDefault="00452CA1" w:rsidP="00452CA1">
            <w:pPr>
              <w:pStyle w:val="ListParagraph"/>
              <w:numPr>
                <w:ilvl w:val="0"/>
                <w:numId w:val="11"/>
              </w:numPr>
              <w:rPr>
                <w:rFonts w:asciiTheme="minorHAnsi" w:hAnsiTheme="minorHAnsi" w:cstheme="minorHAnsi"/>
                <w:lang w:val="mk-MK"/>
              </w:rPr>
            </w:pPr>
            <w:r>
              <w:rPr>
                <w:rFonts w:asciiTheme="minorHAnsi" w:hAnsiTheme="minorHAnsi" w:cstheme="minorHAnsi"/>
                <w:sz w:val="22"/>
                <w:szCs w:val="22"/>
                <w:lang w:val="mk-MK"/>
              </w:rPr>
              <w:t>П</w:t>
            </w:r>
            <w:r w:rsidR="004B4CD2" w:rsidRPr="00452CA1">
              <w:rPr>
                <w:rFonts w:asciiTheme="minorHAnsi" w:hAnsiTheme="minorHAnsi" w:cstheme="minorHAnsi"/>
                <w:sz w:val="22"/>
                <w:szCs w:val="22"/>
                <w:lang w:val="mk-MK"/>
              </w:rPr>
              <w:t xml:space="preserve">рехрамбрена индустриа (преработувачка индустрија) </w:t>
            </w:r>
            <w:r w:rsidR="00AE336B" w:rsidRPr="00452CA1">
              <w:rPr>
                <w:rFonts w:asciiTheme="minorHAnsi" w:hAnsiTheme="minorHAnsi" w:cstheme="minorHAnsi"/>
                <w:sz w:val="22"/>
                <w:szCs w:val="22"/>
                <w:lang w:val="en-US"/>
              </w:rPr>
              <w:t>48.008</w:t>
            </w:r>
          </w:p>
          <w:p w14:paraId="1D0C7E23" w14:textId="77777777" w:rsidR="004B4CD2" w:rsidRPr="00452CA1" w:rsidRDefault="00452CA1" w:rsidP="00452CA1">
            <w:pPr>
              <w:pStyle w:val="ListParagraph"/>
              <w:numPr>
                <w:ilvl w:val="0"/>
                <w:numId w:val="11"/>
              </w:numPr>
              <w:rPr>
                <w:rFonts w:asciiTheme="minorHAnsi" w:hAnsiTheme="minorHAnsi" w:cstheme="minorHAnsi"/>
                <w:lang w:val="en-US"/>
              </w:rPr>
            </w:pPr>
            <w:r>
              <w:rPr>
                <w:rFonts w:asciiTheme="minorHAnsi" w:hAnsiTheme="minorHAnsi" w:cstheme="minorHAnsi"/>
                <w:sz w:val="22"/>
                <w:szCs w:val="22"/>
                <w:lang w:val="mk-MK"/>
              </w:rPr>
              <w:t>Т</w:t>
            </w:r>
            <w:r w:rsidR="004B4CD2" w:rsidRPr="00452CA1">
              <w:rPr>
                <w:rFonts w:asciiTheme="minorHAnsi" w:hAnsiTheme="minorHAnsi" w:cstheme="minorHAnsi"/>
                <w:sz w:val="22"/>
                <w:szCs w:val="22"/>
                <w:lang w:val="mk-MK"/>
              </w:rPr>
              <w:t>екстилна индустри</w:t>
            </w:r>
            <w:r w:rsidR="00230F2D" w:rsidRPr="00452CA1">
              <w:rPr>
                <w:rFonts w:asciiTheme="minorHAnsi" w:hAnsiTheme="minorHAnsi" w:cstheme="minorHAnsi"/>
                <w:sz w:val="22"/>
                <w:szCs w:val="22"/>
                <w:lang w:val="mk-MK"/>
              </w:rPr>
              <w:t>ј</w:t>
            </w:r>
            <w:r w:rsidR="004B4CD2" w:rsidRPr="00452CA1">
              <w:rPr>
                <w:rFonts w:asciiTheme="minorHAnsi" w:hAnsiTheme="minorHAnsi" w:cstheme="minorHAnsi"/>
                <w:sz w:val="22"/>
                <w:szCs w:val="22"/>
                <w:lang w:val="mk-MK"/>
              </w:rPr>
              <w:t xml:space="preserve">а и производство на облека и обувки </w:t>
            </w:r>
            <w:r w:rsidR="00AE336B" w:rsidRPr="00452CA1">
              <w:rPr>
                <w:rFonts w:asciiTheme="minorHAnsi" w:hAnsiTheme="minorHAnsi" w:cstheme="minorHAnsi"/>
                <w:sz w:val="22"/>
                <w:szCs w:val="22"/>
                <w:lang w:val="en-US"/>
              </w:rPr>
              <w:t>1.953</w:t>
            </w:r>
          </w:p>
          <w:p w14:paraId="034FD45E" w14:textId="77777777" w:rsidR="004B4CD2" w:rsidRPr="00452CA1" w:rsidRDefault="00452CA1" w:rsidP="00452CA1">
            <w:pPr>
              <w:pStyle w:val="ListParagraph"/>
              <w:numPr>
                <w:ilvl w:val="0"/>
                <w:numId w:val="11"/>
              </w:numPr>
              <w:rPr>
                <w:rFonts w:asciiTheme="minorHAnsi" w:hAnsiTheme="minorHAnsi" w:cstheme="minorHAnsi"/>
                <w:lang w:val="en-US"/>
              </w:rPr>
            </w:pPr>
            <w:r>
              <w:rPr>
                <w:rFonts w:asciiTheme="minorHAnsi" w:hAnsiTheme="minorHAnsi" w:cstheme="minorHAnsi"/>
                <w:sz w:val="22"/>
                <w:szCs w:val="22"/>
                <w:lang w:val="mk-MK"/>
              </w:rPr>
              <w:t>Х</w:t>
            </w:r>
            <w:r w:rsidR="004B4CD2" w:rsidRPr="00452CA1">
              <w:rPr>
                <w:rFonts w:asciiTheme="minorHAnsi" w:hAnsiTheme="minorHAnsi" w:cstheme="minorHAnsi"/>
                <w:sz w:val="22"/>
                <w:szCs w:val="22"/>
                <w:lang w:val="mk-MK"/>
              </w:rPr>
              <w:t xml:space="preserve">емиска индустриа, производство на градежни материали </w:t>
            </w:r>
            <w:r w:rsidR="00AE336B" w:rsidRPr="00452CA1">
              <w:rPr>
                <w:rFonts w:asciiTheme="minorHAnsi" w:hAnsiTheme="minorHAnsi" w:cstheme="minorHAnsi"/>
                <w:sz w:val="22"/>
                <w:szCs w:val="22"/>
                <w:lang w:val="en-US"/>
              </w:rPr>
              <w:t>933</w:t>
            </w:r>
          </w:p>
          <w:p w14:paraId="2892D0D9" w14:textId="77777777" w:rsidR="00230F2D" w:rsidRPr="00452CA1" w:rsidRDefault="00452CA1" w:rsidP="00452CA1">
            <w:pPr>
              <w:pStyle w:val="ListParagraph"/>
              <w:numPr>
                <w:ilvl w:val="0"/>
                <w:numId w:val="11"/>
              </w:numPr>
              <w:rPr>
                <w:rFonts w:asciiTheme="minorHAnsi" w:hAnsiTheme="minorHAnsi" w:cstheme="minorHAnsi"/>
                <w:lang w:val="mk-MK"/>
              </w:rPr>
            </w:pPr>
            <w:r>
              <w:rPr>
                <w:rFonts w:asciiTheme="minorHAnsi" w:hAnsiTheme="minorHAnsi" w:cstheme="minorHAnsi"/>
                <w:sz w:val="22"/>
                <w:szCs w:val="22"/>
                <w:lang w:val="mk-MK"/>
              </w:rPr>
              <w:t>П</w:t>
            </w:r>
            <w:r w:rsidR="004B4CD2" w:rsidRPr="00452CA1">
              <w:rPr>
                <w:rFonts w:asciiTheme="minorHAnsi" w:hAnsiTheme="minorHAnsi" w:cstheme="minorHAnsi"/>
                <w:sz w:val="22"/>
                <w:szCs w:val="22"/>
                <w:lang w:val="mk-MK"/>
              </w:rPr>
              <w:t xml:space="preserve">розиводство на метали, машини </w:t>
            </w:r>
            <w:r w:rsidR="00AE336B" w:rsidRPr="00452CA1">
              <w:rPr>
                <w:rFonts w:asciiTheme="minorHAnsi" w:hAnsiTheme="minorHAnsi" w:cstheme="minorHAnsi"/>
                <w:sz w:val="22"/>
                <w:szCs w:val="22"/>
                <w:lang w:val="en-US"/>
              </w:rPr>
              <w:t xml:space="preserve"> 302.922</w:t>
            </w:r>
          </w:p>
          <w:p w14:paraId="2362DF3E" w14:textId="77777777" w:rsidR="00230F2D" w:rsidRPr="00452CA1" w:rsidRDefault="00452CA1" w:rsidP="00452CA1">
            <w:pPr>
              <w:pStyle w:val="ListParagraph"/>
              <w:numPr>
                <w:ilvl w:val="0"/>
                <w:numId w:val="11"/>
              </w:numPr>
              <w:rPr>
                <w:rFonts w:asciiTheme="minorHAnsi" w:hAnsiTheme="minorHAnsi" w:cstheme="minorHAnsi"/>
                <w:lang w:val="mk-MK"/>
              </w:rPr>
            </w:pPr>
            <w:r>
              <w:rPr>
                <w:rFonts w:asciiTheme="minorHAnsi" w:hAnsiTheme="minorHAnsi" w:cstheme="minorHAnsi"/>
                <w:sz w:val="22"/>
                <w:szCs w:val="22"/>
                <w:lang w:val="mk-MK"/>
              </w:rPr>
              <w:t>О</w:t>
            </w:r>
            <w:r w:rsidR="004B4CD2" w:rsidRPr="00452CA1">
              <w:rPr>
                <w:rFonts w:asciiTheme="minorHAnsi" w:hAnsiTheme="minorHAnsi" w:cstheme="minorHAnsi"/>
                <w:sz w:val="22"/>
                <w:szCs w:val="22"/>
                <w:lang w:val="mk-MK"/>
              </w:rPr>
              <w:t xml:space="preserve">станата преработувачка индустрија </w:t>
            </w:r>
            <w:r w:rsidR="00AE336B" w:rsidRPr="00452CA1">
              <w:rPr>
                <w:rFonts w:asciiTheme="minorHAnsi" w:hAnsiTheme="minorHAnsi" w:cstheme="minorHAnsi"/>
                <w:sz w:val="22"/>
                <w:szCs w:val="22"/>
                <w:lang w:val="en-US"/>
              </w:rPr>
              <w:t xml:space="preserve"> 1.511</w:t>
            </w:r>
          </w:p>
          <w:p w14:paraId="231AFFCD" w14:textId="77777777" w:rsidR="004B4CD2" w:rsidRPr="00452CA1" w:rsidRDefault="00C702B1" w:rsidP="00452CA1">
            <w:pPr>
              <w:pStyle w:val="ListParagraph"/>
              <w:numPr>
                <w:ilvl w:val="0"/>
                <w:numId w:val="11"/>
              </w:numPr>
              <w:rPr>
                <w:rFonts w:asciiTheme="minorHAnsi" w:hAnsiTheme="minorHAnsi" w:cstheme="minorHAnsi"/>
                <w:lang w:val="en-US"/>
              </w:rPr>
            </w:pPr>
            <w:r>
              <w:rPr>
                <w:rFonts w:asciiTheme="minorHAnsi" w:hAnsiTheme="minorHAnsi" w:cstheme="minorHAnsi"/>
                <w:sz w:val="22"/>
                <w:szCs w:val="22"/>
                <w:lang w:val="mk-MK"/>
              </w:rPr>
              <w:t>С</w:t>
            </w:r>
            <w:r w:rsidR="004B4CD2" w:rsidRPr="00452CA1">
              <w:rPr>
                <w:rFonts w:asciiTheme="minorHAnsi" w:hAnsiTheme="minorHAnsi" w:cstheme="minorHAnsi"/>
                <w:sz w:val="22"/>
                <w:szCs w:val="22"/>
                <w:lang w:val="mk-MK"/>
              </w:rPr>
              <w:t xml:space="preserve">набдување со електрична енергија, гас пареа и климатизација </w:t>
            </w:r>
            <w:r w:rsidR="00AE336B" w:rsidRPr="00452CA1">
              <w:rPr>
                <w:rFonts w:asciiTheme="minorHAnsi" w:hAnsiTheme="minorHAnsi" w:cstheme="minorHAnsi"/>
                <w:sz w:val="22"/>
                <w:szCs w:val="22"/>
                <w:lang w:val="en-US"/>
              </w:rPr>
              <w:t xml:space="preserve"> 1.155</w:t>
            </w:r>
          </w:p>
          <w:p w14:paraId="5DD430BD" w14:textId="77777777" w:rsidR="004B4CD2" w:rsidRPr="00452CA1" w:rsidRDefault="00C702B1" w:rsidP="00452CA1">
            <w:pPr>
              <w:pStyle w:val="ListParagraph"/>
              <w:numPr>
                <w:ilvl w:val="0"/>
                <w:numId w:val="11"/>
              </w:numPr>
              <w:rPr>
                <w:rFonts w:asciiTheme="minorHAnsi" w:hAnsiTheme="minorHAnsi" w:cstheme="minorHAnsi"/>
                <w:lang w:val="en-US"/>
              </w:rPr>
            </w:pPr>
            <w:r>
              <w:rPr>
                <w:rFonts w:asciiTheme="minorHAnsi" w:hAnsiTheme="minorHAnsi" w:cstheme="minorHAnsi"/>
                <w:sz w:val="22"/>
                <w:szCs w:val="22"/>
                <w:lang w:val="mk-MK"/>
              </w:rPr>
              <w:t>С</w:t>
            </w:r>
            <w:r w:rsidR="004B4CD2" w:rsidRPr="00452CA1">
              <w:rPr>
                <w:rFonts w:asciiTheme="minorHAnsi" w:hAnsiTheme="minorHAnsi" w:cstheme="minorHAnsi"/>
                <w:sz w:val="22"/>
                <w:szCs w:val="22"/>
                <w:lang w:val="mk-MK"/>
              </w:rPr>
              <w:t xml:space="preserve">набдување со вода, остранување на отпадни води </w:t>
            </w:r>
            <w:r w:rsidR="00AE336B" w:rsidRPr="00452CA1">
              <w:rPr>
                <w:rFonts w:asciiTheme="minorHAnsi" w:hAnsiTheme="minorHAnsi" w:cstheme="minorHAnsi"/>
                <w:sz w:val="22"/>
                <w:szCs w:val="22"/>
                <w:lang w:val="en-US"/>
              </w:rPr>
              <w:t xml:space="preserve"> 0 </w:t>
            </w:r>
          </w:p>
          <w:p w14:paraId="305EB7A0" w14:textId="77777777" w:rsidR="00230F2D" w:rsidRPr="00452CA1" w:rsidRDefault="00C702B1" w:rsidP="00452CA1">
            <w:pPr>
              <w:pStyle w:val="ListParagraph"/>
              <w:numPr>
                <w:ilvl w:val="0"/>
                <w:numId w:val="11"/>
              </w:numPr>
              <w:rPr>
                <w:rFonts w:asciiTheme="minorHAnsi" w:hAnsiTheme="minorHAnsi" w:cstheme="minorHAnsi"/>
                <w:lang w:val="mk-MK"/>
              </w:rPr>
            </w:pPr>
            <w:r>
              <w:rPr>
                <w:rFonts w:asciiTheme="minorHAnsi" w:hAnsiTheme="minorHAnsi" w:cstheme="minorHAnsi"/>
                <w:sz w:val="22"/>
                <w:szCs w:val="22"/>
                <w:lang w:val="mk-MK"/>
              </w:rPr>
              <w:t>Г</w:t>
            </w:r>
            <w:r w:rsidR="004B4CD2" w:rsidRPr="00452CA1">
              <w:rPr>
                <w:rFonts w:asciiTheme="minorHAnsi" w:hAnsiTheme="minorHAnsi" w:cstheme="minorHAnsi"/>
                <w:sz w:val="22"/>
                <w:szCs w:val="22"/>
                <w:lang w:val="mk-MK"/>
              </w:rPr>
              <w:t xml:space="preserve">радежништво </w:t>
            </w:r>
            <w:r w:rsidR="00AE336B" w:rsidRPr="00452CA1">
              <w:rPr>
                <w:rFonts w:asciiTheme="minorHAnsi" w:hAnsiTheme="minorHAnsi" w:cstheme="minorHAnsi"/>
                <w:sz w:val="22"/>
                <w:szCs w:val="22"/>
                <w:lang w:val="en-US"/>
              </w:rPr>
              <w:t xml:space="preserve"> 478.488</w:t>
            </w:r>
          </w:p>
          <w:p w14:paraId="3CB73D5B" w14:textId="77777777" w:rsidR="004B4CD2" w:rsidRPr="00452CA1" w:rsidRDefault="00C702B1" w:rsidP="00452CA1">
            <w:pPr>
              <w:pStyle w:val="ListParagraph"/>
              <w:numPr>
                <w:ilvl w:val="0"/>
                <w:numId w:val="11"/>
              </w:numPr>
              <w:rPr>
                <w:rFonts w:asciiTheme="minorHAnsi" w:hAnsiTheme="minorHAnsi" w:cstheme="minorHAnsi"/>
                <w:lang w:val="en-US"/>
              </w:rPr>
            </w:pPr>
            <w:r>
              <w:rPr>
                <w:rFonts w:asciiTheme="minorHAnsi" w:hAnsiTheme="minorHAnsi" w:cstheme="minorHAnsi"/>
                <w:sz w:val="22"/>
                <w:szCs w:val="22"/>
                <w:lang w:val="mk-MK"/>
              </w:rPr>
              <w:t>Т</w:t>
            </w:r>
            <w:r w:rsidR="004B4CD2" w:rsidRPr="00452CA1">
              <w:rPr>
                <w:rFonts w:asciiTheme="minorHAnsi" w:hAnsiTheme="minorHAnsi" w:cstheme="minorHAnsi"/>
                <w:sz w:val="22"/>
                <w:szCs w:val="22"/>
                <w:lang w:val="mk-MK"/>
              </w:rPr>
              <w:t xml:space="preserve">рговија на големо и трговија на мало; поправка на моторни возила, мотоцикли и предмети за лична употреба и за домаќинствата </w:t>
            </w:r>
            <w:r w:rsidR="00AE336B" w:rsidRPr="00452CA1">
              <w:rPr>
                <w:rFonts w:asciiTheme="minorHAnsi" w:hAnsiTheme="minorHAnsi" w:cstheme="minorHAnsi"/>
                <w:sz w:val="22"/>
                <w:szCs w:val="22"/>
                <w:lang w:val="en-US"/>
              </w:rPr>
              <w:t xml:space="preserve"> 453.122</w:t>
            </w:r>
          </w:p>
          <w:p w14:paraId="5CB9A9CB" w14:textId="77777777" w:rsidR="00230F2D" w:rsidRPr="00452CA1" w:rsidRDefault="00C702B1" w:rsidP="00452CA1">
            <w:pPr>
              <w:pStyle w:val="ListParagraph"/>
              <w:numPr>
                <w:ilvl w:val="0"/>
                <w:numId w:val="11"/>
              </w:numPr>
              <w:rPr>
                <w:rFonts w:asciiTheme="minorHAnsi" w:hAnsiTheme="minorHAnsi" w:cstheme="minorHAnsi"/>
                <w:lang w:val="mk-MK"/>
              </w:rPr>
            </w:pPr>
            <w:r>
              <w:rPr>
                <w:rFonts w:asciiTheme="minorHAnsi" w:hAnsiTheme="minorHAnsi" w:cstheme="minorHAnsi"/>
                <w:sz w:val="22"/>
                <w:szCs w:val="22"/>
                <w:lang w:val="mk-MK"/>
              </w:rPr>
              <w:t>Т</w:t>
            </w:r>
            <w:r w:rsidR="004B4CD2" w:rsidRPr="00452CA1">
              <w:rPr>
                <w:rFonts w:asciiTheme="minorHAnsi" w:hAnsiTheme="minorHAnsi" w:cstheme="minorHAnsi"/>
                <w:sz w:val="22"/>
                <w:szCs w:val="22"/>
                <w:lang w:val="mk-MK"/>
              </w:rPr>
              <w:t xml:space="preserve">ранспорт и складирање </w:t>
            </w:r>
            <w:r w:rsidR="00AE336B" w:rsidRPr="00452CA1">
              <w:rPr>
                <w:rFonts w:asciiTheme="minorHAnsi" w:hAnsiTheme="minorHAnsi" w:cstheme="minorHAnsi"/>
                <w:sz w:val="22"/>
                <w:szCs w:val="22"/>
                <w:lang w:val="en-US"/>
              </w:rPr>
              <w:t xml:space="preserve"> 12.570</w:t>
            </w:r>
          </w:p>
          <w:p w14:paraId="59B3B380" w14:textId="77777777" w:rsidR="004B4CD2" w:rsidRPr="00452CA1" w:rsidRDefault="00C702B1" w:rsidP="00452CA1">
            <w:pPr>
              <w:pStyle w:val="ListParagraph"/>
              <w:numPr>
                <w:ilvl w:val="0"/>
                <w:numId w:val="11"/>
              </w:numPr>
              <w:rPr>
                <w:rFonts w:asciiTheme="minorHAnsi" w:hAnsiTheme="minorHAnsi" w:cstheme="minorHAnsi"/>
                <w:lang w:val="en-US"/>
              </w:rPr>
            </w:pPr>
            <w:r>
              <w:rPr>
                <w:rFonts w:asciiTheme="minorHAnsi" w:hAnsiTheme="minorHAnsi" w:cstheme="minorHAnsi"/>
                <w:sz w:val="22"/>
                <w:szCs w:val="22"/>
                <w:lang w:val="mk-MK"/>
              </w:rPr>
              <w:t>О</w:t>
            </w:r>
            <w:r w:rsidR="004B4CD2" w:rsidRPr="00452CA1">
              <w:rPr>
                <w:rFonts w:asciiTheme="minorHAnsi" w:hAnsiTheme="minorHAnsi" w:cstheme="minorHAnsi"/>
                <w:sz w:val="22"/>
                <w:szCs w:val="22"/>
                <w:lang w:val="mk-MK"/>
              </w:rPr>
              <w:t xml:space="preserve">бјекти за сместување и сервисни дејности со храна </w:t>
            </w:r>
            <w:r w:rsidR="00AE336B" w:rsidRPr="00452CA1">
              <w:rPr>
                <w:rFonts w:asciiTheme="minorHAnsi" w:hAnsiTheme="minorHAnsi" w:cstheme="minorHAnsi"/>
                <w:sz w:val="22"/>
                <w:szCs w:val="22"/>
                <w:lang w:val="en-US"/>
              </w:rPr>
              <w:t xml:space="preserve"> 111.151</w:t>
            </w:r>
          </w:p>
          <w:p w14:paraId="5DFA1EC6" w14:textId="77777777" w:rsidR="00AE336B" w:rsidRPr="00452CA1" w:rsidRDefault="00C702B1" w:rsidP="00452CA1">
            <w:pPr>
              <w:pStyle w:val="ListParagraph"/>
              <w:numPr>
                <w:ilvl w:val="0"/>
                <w:numId w:val="11"/>
              </w:numPr>
              <w:rPr>
                <w:rFonts w:asciiTheme="minorHAnsi" w:hAnsiTheme="minorHAnsi" w:cstheme="minorHAnsi"/>
                <w:lang w:val="en-US"/>
              </w:rPr>
            </w:pPr>
            <w:r>
              <w:rPr>
                <w:rFonts w:asciiTheme="minorHAnsi" w:hAnsiTheme="minorHAnsi" w:cstheme="minorHAnsi"/>
                <w:sz w:val="22"/>
                <w:szCs w:val="22"/>
                <w:lang w:val="mk-MK"/>
              </w:rPr>
              <w:t>И</w:t>
            </w:r>
            <w:r w:rsidR="004B4CD2" w:rsidRPr="00452CA1">
              <w:rPr>
                <w:rFonts w:asciiTheme="minorHAnsi" w:hAnsiTheme="minorHAnsi" w:cstheme="minorHAnsi"/>
                <w:sz w:val="22"/>
                <w:szCs w:val="22"/>
                <w:lang w:val="mk-MK"/>
              </w:rPr>
              <w:t xml:space="preserve">нформации и комуникации </w:t>
            </w:r>
            <w:r w:rsidR="00AE336B" w:rsidRPr="00452CA1">
              <w:rPr>
                <w:rFonts w:asciiTheme="minorHAnsi" w:hAnsiTheme="minorHAnsi" w:cstheme="minorHAnsi"/>
                <w:sz w:val="22"/>
                <w:szCs w:val="22"/>
                <w:lang w:val="en-US"/>
              </w:rPr>
              <w:t xml:space="preserve"> 0</w:t>
            </w:r>
            <w:r w:rsidR="004B4CD2" w:rsidRPr="00452CA1">
              <w:rPr>
                <w:rFonts w:asciiTheme="minorHAnsi" w:hAnsiTheme="minorHAnsi" w:cstheme="minorHAnsi"/>
                <w:sz w:val="22"/>
                <w:szCs w:val="22"/>
                <w:lang w:val="mk-MK"/>
              </w:rPr>
              <w:t>финансиски дејности (без банки) и дејности на осигурување (финансиско посредување)</w:t>
            </w:r>
            <w:r w:rsidR="00AE336B" w:rsidRPr="00452CA1">
              <w:rPr>
                <w:rFonts w:asciiTheme="minorHAnsi" w:hAnsiTheme="minorHAnsi" w:cstheme="minorHAnsi"/>
                <w:sz w:val="22"/>
                <w:szCs w:val="22"/>
                <w:lang w:val="en-US"/>
              </w:rPr>
              <w:t xml:space="preserve"> 7.584</w:t>
            </w:r>
          </w:p>
          <w:p w14:paraId="5F7B73A2" w14:textId="77777777" w:rsidR="00230F2D" w:rsidRPr="00452CA1" w:rsidRDefault="00C702B1" w:rsidP="00452CA1">
            <w:pPr>
              <w:pStyle w:val="ListParagraph"/>
              <w:numPr>
                <w:ilvl w:val="0"/>
                <w:numId w:val="11"/>
              </w:numPr>
              <w:rPr>
                <w:rFonts w:asciiTheme="minorHAnsi" w:hAnsiTheme="minorHAnsi" w:cstheme="minorHAnsi"/>
                <w:lang w:val="mk-MK"/>
              </w:rPr>
            </w:pPr>
            <w:r>
              <w:rPr>
                <w:rFonts w:asciiTheme="minorHAnsi" w:hAnsiTheme="minorHAnsi" w:cstheme="minorHAnsi"/>
                <w:sz w:val="22"/>
                <w:szCs w:val="22"/>
                <w:lang w:val="mk-MK"/>
              </w:rPr>
              <w:lastRenderedPageBreak/>
              <w:t>Д</w:t>
            </w:r>
            <w:r w:rsidR="004B4CD2" w:rsidRPr="00452CA1">
              <w:rPr>
                <w:rFonts w:asciiTheme="minorHAnsi" w:hAnsiTheme="minorHAnsi" w:cstheme="minorHAnsi"/>
                <w:sz w:val="22"/>
                <w:szCs w:val="22"/>
                <w:lang w:val="mk-MK"/>
              </w:rPr>
              <w:t xml:space="preserve">ејности во врска со недвижен имот (активности во врска со недвижен имот, изнајмување и деловни активности) </w:t>
            </w:r>
            <w:r w:rsidR="00AE336B" w:rsidRPr="00452CA1">
              <w:rPr>
                <w:rFonts w:asciiTheme="minorHAnsi" w:hAnsiTheme="minorHAnsi" w:cstheme="minorHAnsi"/>
                <w:sz w:val="22"/>
                <w:szCs w:val="22"/>
                <w:lang w:val="en-US"/>
              </w:rPr>
              <w:t xml:space="preserve"> 53.495</w:t>
            </w:r>
          </w:p>
          <w:p w14:paraId="1E1008A9" w14:textId="77777777" w:rsidR="004B4CD2" w:rsidRPr="00452CA1" w:rsidRDefault="00C702B1" w:rsidP="00452CA1">
            <w:pPr>
              <w:pStyle w:val="ListParagraph"/>
              <w:numPr>
                <w:ilvl w:val="0"/>
                <w:numId w:val="11"/>
              </w:numPr>
              <w:rPr>
                <w:rFonts w:asciiTheme="minorHAnsi" w:hAnsiTheme="minorHAnsi" w:cstheme="minorHAnsi"/>
                <w:lang w:val="en-US"/>
              </w:rPr>
            </w:pPr>
            <w:r>
              <w:rPr>
                <w:rFonts w:asciiTheme="minorHAnsi" w:hAnsiTheme="minorHAnsi" w:cstheme="minorHAnsi"/>
                <w:sz w:val="22"/>
                <w:szCs w:val="22"/>
                <w:lang w:val="mk-MK"/>
              </w:rPr>
              <w:t>С</w:t>
            </w:r>
            <w:r w:rsidR="004B4CD2" w:rsidRPr="00452CA1">
              <w:rPr>
                <w:rFonts w:asciiTheme="minorHAnsi" w:hAnsiTheme="minorHAnsi" w:cstheme="minorHAnsi"/>
                <w:sz w:val="22"/>
                <w:szCs w:val="22"/>
                <w:lang w:val="mk-MK"/>
              </w:rPr>
              <w:t xml:space="preserve">тручни научни и технички дејности </w:t>
            </w:r>
            <w:r w:rsidR="00AE336B" w:rsidRPr="00452CA1">
              <w:rPr>
                <w:rFonts w:asciiTheme="minorHAnsi" w:hAnsiTheme="minorHAnsi" w:cstheme="minorHAnsi"/>
                <w:sz w:val="22"/>
                <w:szCs w:val="22"/>
                <w:lang w:val="en-US"/>
              </w:rPr>
              <w:t xml:space="preserve"> 39.457</w:t>
            </w:r>
          </w:p>
          <w:p w14:paraId="68290A11" w14:textId="77777777" w:rsidR="00230F2D" w:rsidRPr="00452CA1" w:rsidRDefault="00C702B1" w:rsidP="00452CA1">
            <w:pPr>
              <w:pStyle w:val="ListParagraph"/>
              <w:numPr>
                <w:ilvl w:val="0"/>
                <w:numId w:val="11"/>
              </w:numPr>
              <w:rPr>
                <w:rFonts w:asciiTheme="minorHAnsi" w:hAnsiTheme="minorHAnsi" w:cstheme="minorHAnsi"/>
                <w:lang w:val="mk-MK"/>
              </w:rPr>
            </w:pPr>
            <w:r>
              <w:rPr>
                <w:rFonts w:asciiTheme="minorHAnsi" w:hAnsiTheme="minorHAnsi" w:cstheme="minorHAnsi"/>
                <w:sz w:val="22"/>
                <w:szCs w:val="22"/>
                <w:lang w:val="mk-MK"/>
              </w:rPr>
              <w:t>А</w:t>
            </w:r>
            <w:r w:rsidR="004B4CD2" w:rsidRPr="00452CA1">
              <w:rPr>
                <w:rFonts w:asciiTheme="minorHAnsi" w:hAnsiTheme="minorHAnsi" w:cstheme="minorHAnsi"/>
                <w:sz w:val="22"/>
                <w:szCs w:val="22"/>
                <w:lang w:val="mk-MK"/>
              </w:rPr>
              <w:t xml:space="preserve">дминистративни и помошни услужни дејности </w:t>
            </w:r>
            <w:r w:rsidR="00AE336B" w:rsidRPr="00452CA1">
              <w:rPr>
                <w:rFonts w:asciiTheme="minorHAnsi" w:hAnsiTheme="minorHAnsi" w:cstheme="minorHAnsi"/>
                <w:sz w:val="22"/>
                <w:szCs w:val="22"/>
                <w:lang w:val="en-US"/>
              </w:rPr>
              <w:t xml:space="preserve"> 7.996</w:t>
            </w:r>
          </w:p>
          <w:p w14:paraId="097423BE" w14:textId="77777777" w:rsidR="00230F2D" w:rsidRPr="00452CA1" w:rsidRDefault="00C702B1" w:rsidP="00452CA1">
            <w:pPr>
              <w:pStyle w:val="ListParagraph"/>
              <w:numPr>
                <w:ilvl w:val="0"/>
                <w:numId w:val="11"/>
              </w:numPr>
              <w:rPr>
                <w:rFonts w:asciiTheme="minorHAnsi" w:hAnsiTheme="minorHAnsi" w:cstheme="minorHAnsi"/>
                <w:lang w:val="mk-MK"/>
              </w:rPr>
            </w:pPr>
            <w:r>
              <w:rPr>
                <w:rFonts w:asciiTheme="minorHAnsi" w:hAnsiTheme="minorHAnsi" w:cstheme="minorHAnsi"/>
                <w:sz w:val="22"/>
                <w:szCs w:val="22"/>
                <w:lang w:val="mk-MK"/>
              </w:rPr>
              <w:t>Ј</w:t>
            </w:r>
            <w:r w:rsidR="004B4CD2" w:rsidRPr="00452CA1">
              <w:rPr>
                <w:rFonts w:asciiTheme="minorHAnsi" w:hAnsiTheme="minorHAnsi" w:cstheme="minorHAnsi"/>
                <w:sz w:val="22"/>
                <w:szCs w:val="22"/>
                <w:lang w:val="mk-MK"/>
              </w:rPr>
              <w:t xml:space="preserve">авна управа и одбрана,задолжителна социјална заштита </w:t>
            </w:r>
            <w:r w:rsidR="00AE336B" w:rsidRPr="00452CA1">
              <w:rPr>
                <w:rFonts w:asciiTheme="minorHAnsi" w:hAnsiTheme="minorHAnsi" w:cstheme="minorHAnsi"/>
                <w:sz w:val="22"/>
                <w:szCs w:val="22"/>
                <w:lang w:val="en-US"/>
              </w:rPr>
              <w:t xml:space="preserve"> 60.868</w:t>
            </w:r>
          </w:p>
          <w:p w14:paraId="478BE346" w14:textId="77777777" w:rsidR="004B4CD2" w:rsidRPr="00452CA1" w:rsidRDefault="00C702B1" w:rsidP="00452CA1">
            <w:pPr>
              <w:pStyle w:val="ListParagraph"/>
              <w:numPr>
                <w:ilvl w:val="0"/>
                <w:numId w:val="11"/>
              </w:numPr>
              <w:rPr>
                <w:rFonts w:asciiTheme="minorHAnsi" w:hAnsiTheme="minorHAnsi" w:cstheme="minorHAnsi"/>
                <w:lang w:val="en-US"/>
              </w:rPr>
            </w:pPr>
            <w:r>
              <w:rPr>
                <w:rFonts w:asciiTheme="minorHAnsi" w:hAnsiTheme="minorHAnsi" w:cstheme="minorHAnsi"/>
                <w:sz w:val="22"/>
                <w:szCs w:val="22"/>
                <w:lang w:val="mk-MK"/>
              </w:rPr>
              <w:t>О</w:t>
            </w:r>
            <w:r w:rsidR="004B4CD2" w:rsidRPr="00452CA1">
              <w:rPr>
                <w:rFonts w:asciiTheme="minorHAnsi" w:hAnsiTheme="minorHAnsi" w:cstheme="minorHAnsi"/>
                <w:sz w:val="22"/>
                <w:szCs w:val="22"/>
                <w:lang w:val="mk-MK"/>
              </w:rPr>
              <w:t xml:space="preserve">бразование </w:t>
            </w:r>
            <w:r w:rsidR="00E65C0F" w:rsidRPr="00452CA1">
              <w:rPr>
                <w:rFonts w:asciiTheme="minorHAnsi" w:hAnsiTheme="minorHAnsi" w:cstheme="minorHAnsi"/>
                <w:sz w:val="22"/>
                <w:szCs w:val="22"/>
                <w:lang w:val="en-US"/>
              </w:rPr>
              <w:t xml:space="preserve"> 875</w:t>
            </w:r>
          </w:p>
          <w:p w14:paraId="5C9AD78F" w14:textId="77777777" w:rsidR="004B4CD2" w:rsidRPr="00452CA1" w:rsidRDefault="00C702B1" w:rsidP="00452CA1">
            <w:pPr>
              <w:pStyle w:val="ListParagraph"/>
              <w:numPr>
                <w:ilvl w:val="0"/>
                <w:numId w:val="11"/>
              </w:numPr>
              <w:rPr>
                <w:rFonts w:asciiTheme="minorHAnsi" w:hAnsiTheme="minorHAnsi" w:cstheme="minorHAnsi"/>
                <w:lang w:val="en-US"/>
              </w:rPr>
            </w:pPr>
            <w:r>
              <w:rPr>
                <w:rFonts w:asciiTheme="minorHAnsi" w:hAnsiTheme="minorHAnsi" w:cstheme="minorHAnsi"/>
                <w:sz w:val="22"/>
                <w:szCs w:val="22"/>
                <w:lang w:val="mk-MK"/>
              </w:rPr>
              <w:t>Д</w:t>
            </w:r>
            <w:r w:rsidR="004B4CD2" w:rsidRPr="00452CA1">
              <w:rPr>
                <w:rFonts w:asciiTheme="minorHAnsi" w:hAnsiTheme="minorHAnsi" w:cstheme="minorHAnsi"/>
                <w:sz w:val="22"/>
                <w:szCs w:val="22"/>
                <w:lang w:val="mk-MK"/>
              </w:rPr>
              <w:t xml:space="preserve">ејности на здравство и социјална заштита </w:t>
            </w:r>
            <w:r w:rsidR="00E65C0F" w:rsidRPr="00452CA1">
              <w:rPr>
                <w:rFonts w:asciiTheme="minorHAnsi" w:hAnsiTheme="minorHAnsi" w:cstheme="minorHAnsi"/>
                <w:sz w:val="22"/>
                <w:szCs w:val="22"/>
                <w:lang w:val="en-US"/>
              </w:rPr>
              <w:t xml:space="preserve"> 1.959</w:t>
            </w:r>
          </w:p>
          <w:p w14:paraId="3B4C6EB4" w14:textId="77777777" w:rsidR="004B4CD2" w:rsidRPr="00452CA1" w:rsidRDefault="00C702B1" w:rsidP="00452CA1">
            <w:pPr>
              <w:pStyle w:val="ListParagraph"/>
              <w:numPr>
                <w:ilvl w:val="0"/>
                <w:numId w:val="11"/>
              </w:numPr>
              <w:rPr>
                <w:rFonts w:asciiTheme="minorHAnsi" w:hAnsiTheme="minorHAnsi" w:cstheme="minorHAnsi"/>
                <w:lang w:val="en-US"/>
              </w:rPr>
            </w:pPr>
            <w:r>
              <w:rPr>
                <w:rFonts w:asciiTheme="minorHAnsi" w:hAnsiTheme="minorHAnsi" w:cstheme="minorHAnsi"/>
                <w:sz w:val="22"/>
                <w:szCs w:val="22"/>
                <w:lang w:val="mk-MK"/>
              </w:rPr>
              <w:t>У</w:t>
            </w:r>
            <w:r w:rsidR="004B4CD2" w:rsidRPr="00452CA1">
              <w:rPr>
                <w:rFonts w:asciiTheme="minorHAnsi" w:hAnsiTheme="minorHAnsi" w:cstheme="minorHAnsi"/>
                <w:sz w:val="22"/>
                <w:szCs w:val="22"/>
                <w:lang w:val="mk-MK"/>
              </w:rPr>
              <w:t xml:space="preserve">метност забава и рекреација </w:t>
            </w:r>
            <w:r w:rsidR="00E65C0F" w:rsidRPr="00452CA1">
              <w:rPr>
                <w:rFonts w:asciiTheme="minorHAnsi" w:hAnsiTheme="minorHAnsi" w:cstheme="minorHAnsi"/>
                <w:sz w:val="22"/>
                <w:szCs w:val="22"/>
                <w:lang w:val="en-US"/>
              </w:rPr>
              <w:t xml:space="preserve"> 43.995</w:t>
            </w:r>
          </w:p>
          <w:p w14:paraId="7E3FBC7D" w14:textId="77777777" w:rsidR="004B4CD2" w:rsidRPr="00452CA1" w:rsidRDefault="00C702B1" w:rsidP="00452CA1">
            <w:pPr>
              <w:pStyle w:val="ListParagraph"/>
              <w:numPr>
                <w:ilvl w:val="0"/>
                <w:numId w:val="11"/>
              </w:numPr>
              <w:rPr>
                <w:rFonts w:asciiTheme="minorHAnsi" w:hAnsiTheme="minorHAnsi" w:cstheme="minorHAnsi"/>
                <w:lang w:val="en-US"/>
              </w:rPr>
            </w:pPr>
            <w:r>
              <w:rPr>
                <w:rFonts w:asciiTheme="minorHAnsi" w:hAnsiTheme="minorHAnsi" w:cstheme="minorHAnsi"/>
                <w:sz w:val="22"/>
                <w:szCs w:val="22"/>
                <w:lang w:val="mk-MK"/>
              </w:rPr>
              <w:t>Д</w:t>
            </w:r>
            <w:r w:rsidR="004B4CD2" w:rsidRPr="00452CA1">
              <w:rPr>
                <w:rFonts w:asciiTheme="minorHAnsi" w:hAnsiTheme="minorHAnsi" w:cstheme="minorHAnsi"/>
                <w:sz w:val="22"/>
                <w:szCs w:val="22"/>
                <w:lang w:val="mk-MK"/>
              </w:rPr>
              <w:t xml:space="preserve">руги услужни дејности </w:t>
            </w:r>
            <w:r w:rsidR="00E65C0F" w:rsidRPr="00452CA1">
              <w:rPr>
                <w:rFonts w:asciiTheme="minorHAnsi" w:hAnsiTheme="minorHAnsi" w:cstheme="minorHAnsi"/>
                <w:sz w:val="22"/>
                <w:szCs w:val="22"/>
                <w:lang w:val="en-US"/>
              </w:rPr>
              <w:t xml:space="preserve"> 535</w:t>
            </w:r>
          </w:p>
          <w:p w14:paraId="6E2F0417" w14:textId="77777777" w:rsidR="004B4CD2" w:rsidRPr="00452CA1" w:rsidRDefault="00C702B1" w:rsidP="00452CA1">
            <w:pPr>
              <w:pStyle w:val="ListParagraph"/>
              <w:numPr>
                <w:ilvl w:val="0"/>
                <w:numId w:val="11"/>
              </w:numPr>
              <w:rPr>
                <w:rFonts w:asciiTheme="minorHAnsi" w:hAnsiTheme="minorHAnsi" w:cstheme="minorHAnsi"/>
                <w:lang w:val="mk-MK"/>
              </w:rPr>
            </w:pPr>
            <w:r>
              <w:rPr>
                <w:rFonts w:asciiTheme="minorHAnsi" w:hAnsiTheme="minorHAnsi" w:cstheme="minorHAnsi"/>
                <w:sz w:val="22"/>
                <w:szCs w:val="22"/>
                <w:lang w:val="mk-MK"/>
              </w:rPr>
              <w:t>Д</w:t>
            </w:r>
            <w:r w:rsidR="004B4CD2" w:rsidRPr="00452CA1">
              <w:rPr>
                <w:rFonts w:asciiTheme="minorHAnsi" w:hAnsiTheme="minorHAnsi" w:cstheme="minorHAnsi"/>
                <w:sz w:val="22"/>
                <w:szCs w:val="22"/>
                <w:lang w:val="mk-MK"/>
              </w:rPr>
              <w:t>ејности на домакинства,како работодаваци 0</w:t>
            </w:r>
          </w:p>
          <w:p w14:paraId="1CBCC9CA" w14:textId="77777777" w:rsidR="004B4CD2" w:rsidRPr="00452CA1" w:rsidRDefault="00C702B1" w:rsidP="00452CA1">
            <w:pPr>
              <w:pStyle w:val="ListParagraph"/>
              <w:numPr>
                <w:ilvl w:val="0"/>
                <w:numId w:val="11"/>
              </w:numPr>
              <w:rPr>
                <w:rFonts w:asciiTheme="minorHAnsi" w:hAnsiTheme="minorHAnsi" w:cstheme="minorHAnsi"/>
                <w:lang w:val="mk-MK"/>
              </w:rPr>
            </w:pPr>
            <w:r>
              <w:rPr>
                <w:rFonts w:asciiTheme="minorHAnsi" w:hAnsiTheme="minorHAnsi" w:cstheme="minorHAnsi"/>
                <w:sz w:val="22"/>
                <w:szCs w:val="22"/>
                <w:lang w:val="mk-MK"/>
              </w:rPr>
              <w:t>Д</w:t>
            </w:r>
            <w:r w:rsidR="004B4CD2" w:rsidRPr="00452CA1">
              <w:rPr>
                <w:rFonts w:asciiTheme="minorHAnsi" w:hAnsiTheme="minorHAnsi" w:cstheme="minorHAnsi"/>
                <w:sz w:val="22"/>
                <w:szCs w:val="22"/>
                <w:lang w:val="mk-MK"/>
              </w:rPr>
              <w:t>ејности на екстеротиријални организации 0</w:t>
            </w:r>
          </w:p>
          <w:p w14:paraId="1195FF5C" w14:textId="77777777" w:rsidR="00C702B1" w:rsidRPr="00C702B1" w:rsidRDefault="00C702B1" w:rsidP="00452CA1">
            <w:pPr>
              <w:pStyle w:val="ListParagraph"/>
              <w:numPr>
                <w:ilvl w:val="0"/>
                <w:numId w:val="11"/>
              </w:numPr>
              <w:rPr>
                <w:rFonts w:asciiTheme="minorHAnsi" w:hAnsiTheme="minorHAnsi" w:cstheme="minorHAnsi"/>
                <w:lang w:val="en-US"/>
              </w:rPr>
            </w:pPr>
            <w:r>
              <w:rPr>
                <w:rFonts w:asciiTheme="minorHAnsi" w:hAnsiTheme="minorHAnsi" w:cstheme="minorHAnsi"/>
                <w:sz w:val="22"/>
                <w:szCs w:val="22"/>
                <w:lang w:val="mk-MK"/>
              </w:rPr>
              <w:t>Б</w:t>
            </w:r>
            <w:r w:rsidR="004B4CD2" w:rsidRPr="00452CA1">
              <w:rPr>
                <w:rFonts w:asciiTheme="minorHAnsi" w:hAnsiTheme="minorHAnsi" w:cstheme="minorHAnsi"/>
                <w:sz w:val="22"/>
                <w:szCs w:val="22"/>
                <w:lang w:val="mk-MK"/>
              </w:rPr>
              <w:t xml:space="preserve">анки </w:t>
            </w:r>
            <w:r w:rsidR="00AE336B" w:rsidRPr="00452CA1">
              <w:rPr>
                <w:rFonts w:asciiTheme="minorHAnsi" w:hAnsiTheme="minorHAnsi" w:cstheme="minorHAnsi"/>
                <w:sz w:val="22"/>
                <w:szCs w:val="22"/>
                <w:lang w:val="en-US"/>
              </w:rPr>
              <w:t xml:space="preserve"> 994.293</w:t>
            </w:r>
          </w:p>
          <w:p w14:paraId="42723002" w14:textId="77777777" w:rsidR="004B4CD2" w:rsidRPr="00452CA1" w:rsidRDefault="00C702B1" w:rsidP="00452CA1">
            <w:pPr>
              <w:pStyle w:val="ListParagraph"/>
              <w:numPr>
                <w:ilvl w:val="0"/>
                <w:numId w:val="11"/>
              </w:numPr>
              <w:rPr>
                <w:rFonts w:asciiTheme="minorHAnsi" w:hAnsiTheme="minorHAnsi" w:cstheme="minorHAnsi"/>
                <w:lang w:val="en-US"/>
              </w:rPr>
            </w:pPr>
            <w:r>
              <w:rPr>
                <w:rFonts w:asciiTheme="minorHAnsi" w:hAnsiTheme="minorHAnsi" w:cstheme="minorHAnsi"/>
                <w:sz w:val="22"/>
                <w:szCs w:val="22"/>
                <w:lang w:val="mk-MK"/>
              </w:rPr>
              <w:t>Ф</w:t>
            </w:r>
            <w:r w:rsidR="004B4CD2" w:rsidRPr="00452CA1">
              <w:rPr>
                <w:rFonts w:asciiTheme="minorHAnsi" w:hAnsiTheme="minorHAnsi" w:cstheme="minorHAnsi"/>
                <w:sz w:val="22"/>
                <w:szCs w:val="22"/>
                <w:lang w:val="mk-MK"/>
              </w:rPr>
              <w:t xml:space="preserve">изички лица </w:t>
            </w:r>
            <w:r w:rsidR="00E65C0F" w:rsidRPr="00452CA1">
              <w:rPr>
                <w:rFonts w:asciiTheme="minorHAnsi" w:hAnsiTheme="minorHAnsi" w:cstheme="minorHAnsi"/>
                <w:sz w:val="22"/>
                <w:szCs w:val="22"/>
                <w:lang w:val="en-US"/>
              </w:rPr>
              <w:t xml:space="preserve"> 3.448.536</w:t>
            </w:r>
          </w:p>
          <w:p w14:paraId="31A8906C" w14:textId="77777777" w:rsidR="00230F2D" w:rsidRPr="00452CA1" w:rsidRDefault="00C702B1" w:rsidP="00452CA1">
            <w:pPr>
              <w:pStyle w:val="ListParagraph"/>
              <w:numPr>
                <w:ilvl w:val="0"/>
                <w:numId w:val="11"/>
              </w:numPr>
              <w:rPr>
                <w:rFonts w:asciiTheme="minorHAnsi" w:hAnsiTheme="minorHAnsi" w:cstheme="minorHAnsi"/>
                <w:lang w:val="mk-MK"/>
              </w:rPr>
            </w:pPr>
            <w:r>
              <w:rPr>
                <w:rFonts w:asciiTheme="minorHAnsi" w:hAnsiTheme="minorHAnsi" w:cstheme="minorHAnsi"/>
                <w:sz w:val="22"/>
                <w:szCs w:val="22"/>
                <w:lang w:val="mk-MK"/>
              </w:rPr>
              <w:t>Т</w:t>
            </w:r>
            <w:r w:rsidR="004B4CD2" w:rsidRPr="00452CA1">
              <w:rPr>
                <w:rFonts w:asciiTheme="minorHAnsi" w:hAnsiTheme="minorHAnsi" w:cstheme="minorHAnsi"/>
                <w:sz w:val="22"/>
                <w:szCs w:val="22"/>
                <w:lang w:val="mk-MK"/>
              </w:rPr>
              <w:t xml:space="preserve">рговци поединци и физички лица кои не се сметаат за трговци </w:t>
            </w:r>
            <w:r w:rsidR="00E65C0F" w:rsidRPr="00452CA1">
              <w:rPr>
                <w:rFonts w:asciiTheme="minorHAnsi" w:hAnsiTheme="minorHAnsi" w:cstheme="minorHAnsi"/>
                <w:sz w:val="22"/>
                <w:szCs w:val="22"/>
                <w:lang w:val="en-US"/>
              </w:rPr>
              <w:t xml:space="preserve"> 1.465</w:t>
            </w:r>
          </w:p>
          <w:p w14:paraId="2AB954F4" w14:textId="77777777" w:rsidR="004B4CD2" w:rsidRPr="00452CA1" w:rsidRDefault="004B4CD2" w:rsidP="00452CA1">
            <w:pPr>
              <w:pStyle w:val="ListParagraph"/>
              <w:numPr>
                <w:ilvl w:val="0"/>
                <w:numId w:val="11"/>
              </w:numPr>
              <w:rPr>
                <w:rFonts w:asciiTheme="minorHAnsi" w:hAnsiTheme="minorHAnsi" w:cstheme="minorHAnsi"/>
                <w:lang w:val="en-US"/>
              </w:rPr>
            </w:pPr>
            <w:r w:rsidRPr="00452CA1">
              <w:rPr>
                <w:rFonts w:asciiTheme="minorHAnsi" w:hAnsiTheme="minorHAnsi" w:cstheme="minorHAnsi"/>
                <w:sz w:val="22"/>
                <w:szCs w:val="22"/>
                <w:lang w:val="mk-MK"/>
              </w:rPr>
              <w:t xml:space="preserve">Потрошувачки кредити </w:t>
            </w:r>
            <w:r w:rsidR="00ED1B2F" w:rsidRPr="00452CA1">
              <w:rPr>
                <w:rFonts w:asciiTheme="minorHAnsi" w:hAnsiTheme="minorHAnsi" w:cstheme="minorHAnsi"/>
                <w:sz w:val="22"/>
                <w:szCs w:val="22"/>
                <w:lang w:val="en-US"/>
              </w:rPr>
              <w:t xml:space="preserve"> 1.596.469</w:t>
            </w:r>
          </w:p>
          <w:p w14:paraId="22FCE6B0" w14:textId="77777777" w:rsidR="004B4CD2" w:rsidRPr="00452CA1" w:rsidRDefault="004B4CD2" w:rsidP="00452CA1">
            <w:pPr>
              <w:pStyle w:val="ListParagraph"/>
              <w:numPr>
                <w:ilvl w:val="0"/>
                <w:numId w:val="11"/>
              </w:numPr>
              <w:rPr>
                <w:rFonts w:asciiTheme="minorHAnsi" w:hAnsiTheme="minorHAnsi" w:cstheme="minorHAnsi"/>
                <w:lang w:val="en-US"/>
              </w:rPr>
            </w:pPr>
            <w:r w:rsidRPr="00452CA1">
              <w:rPr>
                <w:rFonts w:asciiTheme="minorHAnsi" w:hAnsiTheme="minorHAnsi" w:cstheme="minorHAnsi"/>
                <w:sz w:val="22"/>
                <w:szCs w:val="22"/>
                <w:lang w:val="mk-MK"/>
              </w:rPr>
              <w:t xml:space="preserve">Кредити за набавка и реновирање на станбен простор </w:t>
            </w:r>
            <w:r w:rsidR="00ED1B2F" w:rsidRPr="00452CA1">
              <w:rPr>
                <w:rFonts w:asciiTheme="minorHAnsi" w:hAnsiTheme="minorHAnsi" w:cstheme="minorHAnsi"/>
                <w:sz w:val="22"/>
                <w:szCs w:val="22"/>
                <w:lang w:val="en-US"/>
              </w:rPr>
              <w:t xml:space="preserve"> 1.357.384</w:t>
            </w:r>
          </w:p>
          <w:p w14:paraId="5B2AC3CE" w14:textId="77777777" w:rsidR="004B4CD2" w:rsidRPr="00452CA1" w:rsidRDefault="004B4CD2" w:rsidP="00452CA1">
            <w:pPr>
              <w:pStyle w:val="ListParagraph"/>
              <w:numPr>
                <w:ilvl w:val="0"/>
                <w:numId w:val="11"/>
              </w:numPr>
              <w:rPr>
                <w:rFonts w:asciiTheme="minorHAnsi" w:hAnsiTheme="minorHAnsi" w:cstheme="minorHAnsi"/>
                <w:lang w:val="en-US"/>
              </w:rPr>
            </w:pPr>
            <w:r w:rsidRPr="00452CA1">
              <w:rPr>
                <w:rFonts w:asciiTheme="minorHAnsi" w:hAnsiTheme="minorHAnsi" w:cstheme="minorHAnsi"/>
                <w:sz w:val="22"/>
                <w:szCs w:val="22"/>
                <w:lang w:val="mk-MK"/>
              </w:rPr>
              <w:t xml:space="preserve">Кредити врз основа на издадени кредитни картички </w:t>
            </w:r>
            <w:r w:rsidR="00ED1B2F" w:rsidRPr="00452CA1">
              <w:rPr>
                <w:rFonts w:asciiTheme="minorHAnsi" w:hAnsiTheme="minorHAnsi" w:cstheme="minorHAnsi"/>
                <w:sz w:val="22"/>
                <w:szCs w:val="22"/>
                <w:lang w:val="en-US"/>
              </w:rPr>
              <w:t xml:space="preserve"> 314.874</w:t>
            </w:r>
          </w:p>
          <w:p w14:paraId="12A695D2" w14:textId="77777777" w:rsidR="004B4CD2" w:rsidRPr="00452CA1" w:rsidRDefault="004B4CD2" w:rsidP="00452CA1">
            <w:pPr>
              <w:pStyle w:val="ListParagraph"/>
              <w:numPr>
                <w:ilvl w:val="0"/>
                <w:numId w:val="11"/>
              </w:numPr>
              <w:rPr>
                <w:rFonts w:asciiTheme="minorHAnsi" w:hAnsiTheme="minorHAnsi" w:cstheme="minorHAnsi"/>
                <w:caps/>
                <w:lang w:val="en-US"/>
              </w:rPr>
            </w:pPr>
            <w:r w:rsidRPr="00452CA1">
              <w:rPr>
                <w:rFonts w:asciiTheme="minorHAnsi" w:hAnsiTheme="minorHAnsi" w:cstheme="minorHAnsi"/>
                <w:sz w:val="22"/>
                <w:szCs w:val="22"/>
                <w:lang w:val="mk-MK"/>
              </w:rPr>
              <w:t xml:space="preserve">Други кредити  </w:t>
            </w:r>
            <w:r w:rsidR="00ED1B2F" w:rsidRPr="00452CA1">
              <w:rPr>
                <w:rFonts w:asciiTheme="minorHAnsi" w:hAnsiTheme="minorHAnsi" w:cstheme="minorHAnsi"/>
                <w:sz w:val="22"/>
                <w:szCs w:val="22"/>
                <w:lang w:val="en-US"/>
              </w:rPr>
              <w:t xml:space="preserve"> </w:t>
            </w:r>
            <w:r w:rsidR="00BD0AF7" w:rsidRPr="00452CA1">
              <w:rPr>
                <w:rFonts w:asciiTheme="minorHAnsi" w:hAnsiTheme="minorHAnsi" w:cstheme="minorHAnsi"/>
                <w:sz w:val="22"/>
                <w:szCs w:val="22"/>
                <w:lang w:val="en-US"/>
              </w:rPr>
              <w:t>178.344</w:t>
            </w:r>
          </w:p>
        </w:tc>
      </w:tr>
      <w:tr w:rsidR="004B4CD2" w:rsidRPr="004B4CD2" w14:paraId="3869727E" w14:textId="77777777" w:rsidTr="00404624">
        <w:tc>
          <w:tcPr>
            <w:tcW w:w="1911" w:type="dxa"/>
            <w:vAlign w:val="center"/>
          </w:tcPr>
          <w:p w14:paraId="584EFFBD" w14:textId="77777777" w:rsidR="004B4CD2" w:rsidRPr="004B4CD2" w:rsidRDefault="004B4CD2" w:rsidP="00404624">
            <w:pPr>
              <w:rPr>
                <w:rFonts w:asciiTheme="minorHAnsi" w:hAnsiTheme="minorHAnsi" w:cstheme="minorHAnsi"/>
                <w:lang w:val="ru-RU"/>
              </w:rPr>
            </w:pPr>
            <w:r w:rsidRPr="004B4CD2">
              <w:rPr>
                <w:rFonts w:asciiTheme="minorHAnsi" w:hAnsiTheme="minorHAnsi" w:cstheme="minorHAnsi"/>
                <w:sz w:val="22"/>
                <w:szCs w:val="22"/>
                <w:lang w:val="ru-RU"/>
              </w:rPr>
              <w:lastRenderedPageBreak/>
              <w:t>Резидуалната договорна рочна стру-ктура на изло</w:t>
            </w:r>
            <w:r w:rsidRPr="004B4CD2">
              <w:rPr>
                <w:rFonts w:asciiTheme="minorHAnsi" w:hAnsiTheme="minorHAnsi" w:cstheme="minorHAnsi"/>
                <w:sz w:val="22"/>
                <w:szCs w:val="22"/>
                <w:lang w:val="ru-RU"/>
              </w:rPr>
              <w:softHyphen/>
              <w:t>женоста на кредитен ризик (со рок на достасување до една година и над една година</w:t>
            </w:r>
          </w:p>
        </w:tc>
        <w:tc>
          <w:tcPr>
            <w:tcW w:w="7836" w:type="dxa"/>
            <w:vAlign w:val="center"/>
          </w:tcPr>
          <w:p w14:paraId="69B5E29B" w14:textId="77777777" w:rsidR="004B4CD2" w:rsidRPr="004B4CD2" w:rsidRDefault="004B4CD2" w:rsidP="00404624">
            <w:pPr>
              <w:spacing w:before="120" w:after="120"/>
              <w:rPr>
                <w:rFonts w:asciiTheme="minorHAnsi" w:hAnsiTheme="minorHAnsi" w:cstheme="minorHAnsi"/>
                <w:lang w:val="en-US"/>
              </w:rPr>
            </w:pPr>
            <w:r w:rsidRPr="004B4CD2">
              <w:rPr>
                <w:rFonts w:asciiTheme="minorHAnsi" w:hAnsiTheme="minorHAnsi" w:cstheme="minorHAnsi"/>
                <w:sz w:val="22"/>
                <w:szCs w:val="22"/>
                <w:lang w:val="mk-MK"/>
              </w:rPr>
              <w:t xml:space="preserve">Изложеност на кредитен ризик до една година   </w:t>
            </w:r>
            <w:r w:rsidR="00D04FDE">
              <w:rPr>
                <w:rFonts w:asciiTheme="minorHAnsi" w:hAnsiTheme="minorHAnsi" w:cstheme="minorHAnsi"/>
                <w:sz w:val="22"/>
                <w:szCs w:val="22"/>
                <w:lang w:val="en-US"/>
              </w:rPr>
              <w:t xml:space="preserve">2.803.039 </w:t>
            </w:r>
            <w:r w:rsidRPr="004B4CD2">
              <w:rPr>
                <w:rFonts w:asciiTheme="minorHAnsi" w:hAnsiTheme="minorHAnsi" w:cstheme="minorHAnsi"/>
                <w:sz w:val="22"/>
                <w:szCs w:val="22"/>
                <w:lang w:val="mk-MK"/>
              </w:rPr>
              <w:t>илјади денари</w:t>
            </w:r>
          </w:p>
          <w:p w14:paraId="01C33233" w14:textId="77777777" w:rsidR="004B4CD2" w:rsidRPr="004B4CD2" w:rsidRDefault="004B4CD2" w:rsidP="00D04FDE">
            <w:pPr>
              <w:spacing w:before="120" w:after="120"/>
              <w:rPr>
                <w:rFonts w:asciiTheme="minorHAnsi" w:hAnsiTheme="minorHAnsi" w:cstheme="minorHAnsi"/>
                <w:lang w:val="mk-MK"/>
              </w:rPr>
            </w:pPr>
            <w:r w:rsidRPr="004B4CD2">
              <w:rPr>
                <w:rFonts w:asciiTheme="minorHAnsi" w:hAnsiTheme="minorHAnsi" w:cstheme="minorHAnsi"/>
                <w:sz w:val="22"/>
                <w:szCs w:val="22"/>
                <w:lang w:val="mk-MK"/>
              </w:rPr>
              <w:t xml:space="preserve">Изложеност на кредитен ризик над една година     </w:t>
            </w:r>
            <w:r w:rsidR="00D04FDE">
              <w:rPr>
                <w:rFonts w:asciiTheme="minorHAnsi" w:hAnsiTheme="minorHAnsi" w:cstheme="minorHAnsi"/>
                <w:sz w:val="22"/>
                <w:szCs w:val="22"/>
                <w:lang w:val="en-US"/>
              </w:rPr>
              <w:t>3.345.771</w:t>
            </w:r>
            <w:r w:rsidRPr="004B4CD2">
              <w:rPr>
                <w:rFonts w:asciiTheme="minorHAnsi" w:hAnsiTheme="minorHAnsi" w:cstheme="minorHAnsi"/>
                <w:sz w:val="22"/>
                <w:szCs w:val="22"/>
                <w:lang w:val="mk-MK"/>
              </w:rPr>
              <w:t>илјади денари</w:t>
            </w:r>
          </w:p>
        </w:tc>
      </w:tr>
      <w:tr w:rsidR="004B4CD2" w:rsidRPr="004B4CD2" w14:paraId="254DB068" w14:textId="77777777" w:rsidTr="00404624">
        <w:tc>
          <w:tcPr>
            <w:tcW w:w="1911" w:type="dxa"/>
            <w:vAlign w:val="center"/>
          </w:tcPr>
          <w:p w14:paraId="405A2CCF" w14:textId="77777777" w:rsidR="004B4CD2" w:rsidRPr="004B4CD2" w:rsidRDefault="004B4CD2" w:rsidP="00404624">
            <w:pPr>
              <w:rPr>
                <w:rFonts w:asciiTheme="minorHAnsi" w:hAnsiTheme="minorHAnsi" w:cstheme="minorHAnsi"/>
                <w:lang w:val="mk-MK"/>
              </w:rPr>
            </w:pPr>
            <w:r w:rsidRPr="004B4CD2">
              <w:rPr>
                <w:rFonts w:asciiTheme="minorHAnsi" w:hAnsiTheme="minorHAnsi" w:cstheme="minorHAnsi"/>
                <w:sz w:val="22"/>
                <w:szCs w:val="22"/>
                <w:lang w:val="mk-MK"/>
              </w:rPr>
              <w:t>Структурата на изложеноста на кредитен ризик по дејности:</w:t>
            </w:r>
          </w:p>
          <w:p w14:paraId="5E75D44B" w14:textId="77777777" w:rsidR="004B4CD2" w:rsidRPr="004B4CD2" w:rsidRDefault="004B4CD2" w:rsidP="00404624">
            <w:pPr>
              <w:rPr>
                <w:rFonts w:asciiTheme="minorHAnsi" w:hAnsiTheme="minorHAnsi" w:cstheme="minorHAnsi"/>
                <w:lang w:val="mk-MK"/>
              </w:rPr>
            </w:pPr>
            <w:r w:rsidRPr="004B4CD2">
              <w:rPr>
                <w:rFonts w:asciiTheme="minorHAnsi" w:hAnsiTheme="minorHAnsi" w:cstheme="minorHAnsi"/>
                <w:sz w:val="22"/>
                <w:szCs w:val="22"/>
                <w:lang w:val="mk-MK"/>
              </w:rPr>
              <w:t>За најголемата изложеност кон одделна деј</w:t>
            </w:r>
            <w:r w:rsidRPr="004B4CD2">
              <w:rPr>
                <w:rFonts w:asciiTheme="minorHAnsi" w:hAnsiTheme="minorHAnsi" w:cstheme="minorHAnsi"/>
                <w:sz w:val="22"/>
                <w:szCs w:val="22"/>
                <w:lang w:val="mk-MK"/>
              </w:rPr>
              <w:softHyphen/>
              <w:t xml:space="preserve">ност се објавуваат и следните податоци: </w:t>
            </w:r>
          </w:p>
          <w:p w14:paraId="695E2BF1" w14:textId="77777777" w:rsidR="004B4CD2" w:rsidRPr="004B4CD2" w:rsidRDefault="004B4CD2" w:rsidP="004B4CD2">
            <w:pPr>
              <w:numPr>
                <w:ilvl w:val="0"/>
                <w:numId w:val="2"/>
              </w:numPr>
              <w:tabs>
                <w:tab w:val="clear" w:pos="720"/>
                <w:tab w:val="num" w:pos="180"/>
              </w:tabs>
              <w:ind w:left="180" w:hanging="180"/>
              <w:rPr>
                <w:rFonts w:asciiTheme="minorHAnsi" w:hAnsiTheme="minorHAnsi" w:cstheme="minorHAnsi"/>
                <w:lang w:val="mk-MK"/>
              </w:rPr>
            </w:pPr>
            <w:r w:rsidRPr="004B4CD2">
              <w:rPr>
                <w:rFonts w:asciiTheme="minorHAnsi" w:hAnsiTheme="minorHAnsi" w:cstheme="minorHAnsi"/>
                <w:sz w:val="22"/>
                <w:szCs w:val="22"/>
                <w:lang w:val="mk-MK"/>
              </w:rPr>
              <w:t xml:space="preserve">износот на достасаните кредити, </w:t>
            </w:r>
          </w:p>
          <w:p w14:paraId="5CC8AF90" w14:textId="77777777" w:rsidR="004B4CD2" w:rsidRPr="004B4CD2" w:rsidRDefault="004B4CD2" w:rsidP="004B4CD2">
            <w:pPr>
              <w:numPr>
                <w:ilvl w:val="0"/>
                <w:numId w:val="2"/>
              </w:numPr>
              <w:tabs>
                <w:tab w:val="clear" w:pos="720"/>
                <w:tab w:val="num" w:pos="180"/>
              </w:tabs>
              <w:ind w:left="180" w:hanging="180"/>
              <w:rPr>
                <w:rFonts w:asciiTheme="minorHAnsi" w:hAnsiTheme="minorHAnsi" w:cstheme="minorHAnsi"/>
                <w:lang w:val="mk-MK"/>
              </w:rPr>
            </w:pPr>
            <w:r w:rsidRPr="004B4CD2">
              <w:rPr>
                <w:rFonts w:asciiTheme="minorHAnsi" w:hAnsiTheme="minorHAnsi" w:cstheme="minorHAnsi"/>
                <w:sz w:val="22"/>
                <w:szCs w:val="22"/>
                <w:lang w:val="mk-MK"/>
              </w:rPr>
              <w:t xml:space="preserve">износот на изложеноста за која е извршена исправка на вред-носта, односно е издвоена по-себна резерва, </w:t>
            </w:r>
          </w:p>
          <w:p w14:paraId="1A04208D" w14:textId="77777777" w:rsidR="004B4CD2" w:rsidRPr="004B4CD2" w:rsidRDefault="004B4CD2" w:rsidP="00404624">
            <w:pPr>
              <w:rPr>
                <w:rFonts w:asciiTheme="minorHAnsi" w:hAnsiTheme="minorHAnsi" w:cstheme="minorHAnsi"/>
                <w:lang w:val="mk-MK"/>
              </w:rPr>
            </w:pPr>
            <w:r w:rsidRPr="004B4CD2">
              <w:rPr>
                <w:rFonts w:asciiTheme="minorHAnsi" w:hAnsiTheme="minorHAnsi" w:cstheme="minorHAnsi"/>
                <w:sz w:val="22"/>
                <w:szCs w:val="22"/>
                <w:lang w:val="mk-MK"/>
              </w:rPr>
              <w:t xml:space="preserve">износот на извршената исправка на вредноста, односно </w:t>
            </w:r>
            <w:r w:rsidRPr="004B4CD2">
              <w:rPr>
                <w:rFonts w:asciiTheme="minorHAnsi" w:hAnsiTheme="minorHAnsi" w:cstheme="minorHAnsi"/>
                <w:sz w:val="22"/>
                <w:szCs w:val="22"/>
                <w:lang w:val="mk-MK"/>
              </w:rPr>
              <w:lastRenderedPageBreak/>
              <w:t>издвоената посебна резерва за идентификуваните кредитни загуби од изложеноста кон дејноста</w:t>
            </w:r>
          </w:p>
        </w:tc>
        <w:tc>
          <w:tcPr>
            <w:tcW w:w="7836" w:type="dxa"/>
            <w:vAlign w:val="center"/>
          </w:tcPr>
          <w:p w14:paraId="2B6170A7" w14:textId="77777777" w:rsidR="004B4CD2" w:rsidRDefault="004B4CD2" w:rsidP="00404624">
            <w:pPr>
              <w:rPr>
                <w:rFonts w:asciiTheme="minorHAnsi" w:hAnsiTheme="minorHAnsi" w:cstheme="minorHAnsi"/>
                <w:lang w:val="mk-MK"/>
              </w:rPr>
            </w:pPr>
            <w:r w:rsidRPr="004B4CD2">
              <w:rPr>
                <w:rFonts w:asciiTheme="minorHAnsi" w:hAnsiTheme="minorHAnsi" w:cstheme="minorHAnsi"/>
                <w:sz w:val="22"/>
                <w:szCs w:val="22"/>
                <w:lang w:val="mk-MK"/>
              </w:rPr>
              <w:lastRenderedPageBreak/>
              <w:t xml:space="preserve">Најголема изложеност кон одделна дејност (без изложеност кон банки) е </w:t>
            </w:r>
            <w:r w:rsidR="00ED39C7">
              <w:rPr>
                <w:rFonts w:asciiTheme="minorHAnsi" w:hAnsiTheme="minorHAnsi" w:cstheme="minorHAnsi"/>
                <w:sz w:val="22"/>
                <w:szCs w:val="22"/>
                <w:lang w:val="mk-MK"/>
              </w:rPr>
              <w:t xml:space="preserve"> Градежништво</w:t>
            </w:r>
          </w:p>
          <w:p w14:paraId="542B8FAF" w14:textId="77777777" w:rsidR="006956EA" w:rsidRPr="004B4CD2" w:rsidRDefault="006956EA" w:rsidP="00404624">
            <w:pPr>
              <w:rPr>
                <w:rFonts w:asciiTheme="minorHAnsi" w:hAnsiTheme="minorHAnsi" w:cstheme="minorHAnsi"/>
                <w:lang w:val="mk-MK"/>
              </w:rPr>
            </w:pPr>
          </w:p>
          <w:p w14:paraId="2633FE53" w14:textId="77777777" w:rsidR="004B4CD2" w:rsidRPr="004B4CD2" w:rsidRDefault="004B4CD2" w:rsidP="00404624">
            <w:pPr>
              <w:rPr>
                <w:rFonts w:asciiTheme="minorHAnsi" w:hAnsiTheme="minorHAnsi" w:cstheme="minorHAnsi"/>
                <w:lang w:val="mk-MK"/>
              </w:rPr>
            </w:pPr>
            <w:r w:rsidRPr="004B4CD2">
              <w:rPr>
                <w:rFonts w:asciiTheme="minorHAnsi" w:hAnsiTheme="minorHAnsi" w:cstheme="minorHAnsi"/>
                <w:sz w:val="22"/>
                <w:szCs w:val="22"/>
                <w:lang w:val="mk-MK"/>
              </w:rPr>
              <w:t>Изложеност во 000 ден</w:t>
            </w:r>
          </w:p>
          <w:p w14:paraId="33B07026" w14:textId="77777777" w:rsidR="006956EA" w:rsidRDefault="00ED39C7" w:rsidP="00404624">
            <w:pPr>
              <w:rPr>
                <w:rFonts w:asciiTheme="minorHAnsi" w:hAnsiTheme="minorHAnsi" w:cstheme="minorHAnsi"/>
                <w:lang w:val="mk-MK"/>
              </w:rPr>
            </w:pPr>
            <w:r>
              <w:rPr>
                <w:rFonts w:asciiTheme="minorHAnsi" w:hAnsiTheme="minorHAnsi" w:cstheme="minorHAnsi"/>
                <w:sz w:val="22"/>
                <w:szCs w:val="22"/>
                <w:lang w:val="mk-MK"/>
              </w:rPr>
              <w:t xml:space="preserve"> 484</w:t>
            </w:r>
            <w:r>
              <w:rPr>
                <w:rFonts w:asciiTheme="minorHAnsi" w:hAnsiTheme="minorHAnsi" w:cstheme="minorHAnsi"/>
                <w:sz w:val="22"/>
                <w:szCs w:val="22"/>
                <w:lang w:val="en-US"/>
              </w:rPr>
              <w:t>.</w:t>
            </w:r>
            <w:r>
              <w:rPr>
                <w:rFonts w:asciiTheme="minorHAnsi" w:hAnsiTheme="minorHAnsi" w:cstheme="minorHAnsi"/>
                <w:sz w:val="22"/>
                <w:szCs w:val="22"/>
                <w:lang w:val="mk-MK"/>
              </w:rPr>
              <w:t>451</w:t>
            </w:r>
          </w:p>
          <w:p w14:paraId="12CB2BE9" w14:textId="77777777" w:rsidR="006956EA" w:rsidRDefault="006956EA" w:rsidP="00404624">
            <w:pPr>
              <w:rPr>
                <w:rFonts w:asciiTheme="minorHAnsi" w:hAnsiTheme="minorHAnsi" w:cstheme="minorHAnsi"/>
                <w:lang w:val="mk-MK"/>
              </w:rPr>
            </w:pPr>
          </w:p>
          <w:p w14:paraId="176055C6" w14:textId="77777777" w:rsidR="004B4CD2" w:rsidRPr="004B4CD2" w:rsidRDefault="004B4CD2" w:rsidP="00404624">
            <w:pPr>
              <w:rPr>
                <w:rFonts w:asciiTheme="minorHAnsi" w:hAnsiTheme="minorHAnsi" w:cstheme="minorHAnsi"/>
                <w:lang w:val="mk-MK"/>
              </w:rPr>
            </w:pPr>
            <w:r w:rsidRPr="004B4CD2">
              <w:rPr>
                <w:rFonts w:asciiTheme="minorHAnsi" w:hAnsiTheme="minorHAnsi" w:cstheme="minorHAnsi"/>
                <w:sz w:val="22"/>
                <w:szCs w:val="22"/>
                <w:lang w:val="mk-MK"/>
              </w:rPr>
              <w:t>Достасани кредити во 000 ден</w:t>
            </w:r>
          </w:p>
          <w:p w14:paraId="65C75562" w14:textId="77777777" w:rsidR="006956EA" w:rsidRDefault="00ED39C7" w:rsidP="00404624">
            <w:pPr>
              <w:rPr>
                <w:rFonts w:asciiTheme="minorHAnsi" w:hAnsiTheme="minorHAnsi" w:cstheme="minorHAnsi"/>
                <w:lang w:val="mk-MK"/>
              </w:rPr>
            </w:pPr>
            <w:r>
              <w:rPr>
                <w:rFonts w:asciiTheme="minorHAnsi" w:hAnsiTheme="minorHAnsi" w:cstheme="minorHAnsi"/>
                <w:sz w:val="22"/>
                <w:szCs w:val="22"/>
                <w:lang w:val="mk-MK"/>
              </w:rPr>
              <w:t xml:space="preserve"> 946</w:t>
            </w:r>
          </w:p>
          <w:p w14:paraId="2B23833E" w14:textId="77777777" w:rsidR="006956EA" w:rsidRDefault="006956EA" w:rsidP="00404624">
            <w:pPr>
              <w:rPr>
                <w:rFonts w:asciiTheme="minorHAnsi" w:hAnsiTheme="minorHAnsi" w:cstheme="minorHAnsi"/>
                <w:lang w:val="mk-MK"/>
              </w:rPr>
            </w:pPr>
          </w:p>
          <w:p w14:paraId="0C6EB7EB" w14:textId="77777777" w:rsidR="004B4CD2" w:rsidRPr="004B4CD2" w:rsidRDefault="004B4CD2" w:rsidP="00404624">
            <w:pPr>
              <w:rPr>
                <w:rFonts w:asciiTheme="minorHAnsi" w:hAnsiTheme="minorHAnsi" w:cstheme="minorHAnsi"/>
                <w:lang w:val="mk-MK"/>
              </w:rPr>
            </w:pPr>
            <w:r w:rsidRPr="004B4CD2">
              <w:rPr>
                <w:rFonts w:asciiTheme="minorHAnsi" w:hAnsiTheme="minorHAnsi" w:cstheme="minorHAnsi"/>
                <w:sz w:val="22"/>
                <w:szCs w:val="22"/>
                <w:lang w:val="mk-MK"/>
              </w:rPr>
              <w:t>Исправка на вредност во 000 ден</w:t>
            </w:r>
          </w:p>
          <w:p w14:paraId="0E927669" w14:textId="77777777" w:rsidR="006956EA" w:rsidRDefault="00ED39C7" w:rsidP="00404624">
            <w:pPr>
              <w:rPr>
                <w:rFonts w:asciiTheme="minorHAnsi" w:hAnsiTheme="minorHAnsi" w:cstheme="minorHAnsi"/>
                <w:lang w:val="mk-MK"/>
              </w:rPr>
            </w:pPr>
            <w:r>
              <w:rPr>
                <w:rFonts w:asciiTheme="minorHAnsi" w:hAnsiTheme="minorHAnsi" w:cstheme="minorHAnsi"/>
                <w:sz w:val="22"/>
                <w:szCs w:val="22"/>
                <w:lang w:val="mk-MK"/>
              </w:rPr>
              <w:t xml:space="preserve"> 5</w:t>
            </w:r>
            <w:r>
              <w:rPr>
                <w:rFonts w:asciiTheme="minorHAnsi" w:hAnsiTheme="minorHAnsi" w:cstheme="minorHAnsi"/>
                <w:sz w:val="22"/>
                <w:szCs w:val="22"/>
                <w:lang w:val="en-US"/>
              </w:rPr>
              <w:t>.</w:t>
            </w:r>
            <w:r>
              <w:rPr>
                <w:rFonts w:asciiTheme="minorHAnsi" w:hAnsiTheme="minorHAnsi" w:cstheme="minorHAnsi"/>
                <w:sz w:val="22"/>
                <w:szCs w:val="22"/>
                <w:lang w:val="mk-MK"/>
              </w:rPr>
              <w:t>96</w:t>
            </w:r>
            <w:r>
              <w:rPr>
                <w:rFonts w:asciiTheme="minorHAnsi" w:hAnsiTheme="minorHAnsi" w:cstheme="minorHAnsi"/>
                <w:sz w:val="22"/>
                <w:szCs w:val="22"/>
                <w:lang w:val="en-US"/>
              </w:rPr>
              <w:t>3</w:t>
            </w:r>
          </w:p>
          <w:p w14:paraId="23D54AED" w14:textId="77777777" w:rsidR="006956EA" w:rsidRDefault="006956EA" w:rsidP="00404624">
            <w:pPr>
              <w:rPr>
                <w:rFonts w:asciiTheme="minorHAnsi" w:hAnsiTheme="minorHAnsi" w:cstheme="minorHAnsi"/>
                <w:lang w:val="mk-MK"/>
              </w:rPr>
            </w:pPr>
          </w:p>
          <w:p w14:paraId="48A82317" w14:textId="77777777" w:rsidR="004B4CD2" w:rsidRPr="004B4CD2" w:rsidRDefault="004B4CD2" w:rsidP="00404624">
            <w:pPr>
              <w:rPr>
                <w:rFonts w:asciiTheme="minorHAnsi" w:hAnsiTheme="minorHAnsi" w:cstheme="minorHAnsi"/>
                <w:lang w:val="mk-MK"/>
              </w:rPr>
            </w:pPr>
            <w:r w:rsidRPr="004B4CD2">
              <w:rPr>
                <w:rFonts w:asciiTheme="minorHAnsi" w:hAnsiTheme="minorHAnsi" w:cstheme="minorHAnsi"/>
                <w:sz w:val="22"/>
                <w:szCs w:val="22"/>
                <w:lang w:val="mk-MK"/>
              </w:rPr>
              <w:t>Износ на изложеност за која е извршена исправка во 000 ден</w:t>
            </w:r>
          </w:p>
          <w:p w14:paraId="7556FDA6" w14:textId="77777777" w:rsidR="004B4CD2" w:rsidRPr="00ED39C7" w:rsidRDefault="00ED39C7" w:rsidP="00404624">
            <w:pPr>
              <w:rPr>
                <w:rFonts w:asciiTheme="minorHAnsi" w:hAnsiTheme="minorHAnsi" w:cstheme="minorHAnsi"/>
                <w:lang w:val="en-US"/>
              </w:rPr>
            </w:pPr>
            <w:r>
              <w:rPr>
                <w:rFonts w:asciiTheme="minorHAnsi" w:hAnsiTheme="minorHAnsi" w:cstheme="minorHAnsi"/>
                <w:sz w:val="22"/>
                <w:szCs w:val="22"/>
                <w:lang w:val="en-US"/>
              </w:rPr>
              <w:t xml:space="preserve"> </w:t>
            </w:r>
            <w:r>
              <w:rPr>
                <w:rFonts w:asciiTheme="minorHAnsi" w:hAnsiTheme="minorHAnsi" w:cstheme="minorHAnsi"/>
                <w:sz w:val="22"/>
                <w:szCs w:val="22"/>
                <w:lang w:val="mk-MK"/>
              </w:rPr>
              <w:t>484</w:t>
            </w:r>
            <w:r>
              <w:rPr>
                <w:rFonts w:asciiTheme="minorHAnsi" w:hAnsiTheme="minorHAnsi" w:cstheme="minorHAnsi"/>
                <w:sz w:val="22"/>
                <w:szCs w:val="22"/>
                <w:lang w:val="en-US"/>
              </w:rPr>
              <w:t>.</w:t>
            </w:r>
            <w:r>
              <w:rPr>
                <w:rFonts w:asciiTheme="minorHAnsi" w:hAnsiTheme="minorHAnsi" w:cstheme="minorHAnsi"/>
                <w:sz w:val="22"/>
                <w:szCs w:val="22"/>
                <w:lang w:val="mk-MK"/>
              </w:rPr>
              <w:t>451</w:t>
            </w:r>
          </w:p>
        </w:tc>
      </w:tr>
      <w:tr w:rsidR="004B4CD2" w:rsidRPr="004B4CD2" w14:paraId="3368C737" w14:textId="77777777" w:rsidTr="00404624">
        <w:tc>
          <w:tcPr>
            <w:tcW w:w="1911" w:type="dxa"/>
            <w:vAlign w:val="center"/>
          </w:tcPr>
          <w:p w14:paraId="30755D39" w14:textId="77777777" w:rsidR="004B4CD2" w:rsidRPr="004B4CD2" w:rsidRDefault="004B4CD2" w:rsidP="00404624">
            <w:pPr>
              <w:rPr>
                <w:rFonts w:asciiTheme="minorHAnsi" w:hAnsiTheme="minorHAnsi" w:cstheme="minorHAnsi"/>
                <w:lang w:val="ru-RU"/>
              </w:rPr>
            </w:pPr>
            <w:r w:rsidRPr="004B4CD2">
              <w:rPr>
                <w:rFonts w:asciiTheme="minorHAnsi" w:hAnsiTheme="minorHAnsi" w:cstheme="minorHAnsi"/>
                <w:sz w:val="22"/>
                <w:szCs w:val="22"/>
                <w:lang w:val="ru-RU"/>
              </w:rPr>
              <w:t>Износот на реструктурираните побарувања, сог</w:t>
            </w:r>
            <w:r w:rsidRPr="004B4CD2">
              <w:rPr>
                <w:rFonts w:asciiTheme="minorHAnsi" w:hAnsiTheme="minorHAnsi" w:cstheme="minorHAnsi"/>
                <w:sz w:val="22"/>
                <w:szCs w:val="22"/>
                <w:lang w:val="ru-RU"/>
              </w:rPr>
              <w:softHyphen/>
              <w:t>ласно со Одлуката за супервизорските стандарди за ре</w:t>
            </w:r>
            <w:r w:rsidRPr="004B4CD2">
              <w:rPr>
                <w:rFonts w:asciiTheme="minorHAnsi" w:hAnsiTheme="minorHAnsi" w:cstheme="minorHAnsi"/>
                <w:sz w:val="22"/>
                <w:szCs w:val="22"/>
                <w:lang w:val="ru-RU"/>
              </w:rPr>
              <w:softHyphen/>
              <w:t>гулирање на достасаните, а ненаплатени побарувања на банките</w:t>
            </w:r>
          </w:p>
        </w:tc>
        <w:tc>
          <w:tcPr>
            <w:tcW w:w="7836" w:type="dxa"/>
            <w:vAlign w:val="center"/>
          </w:tcPr>
          <w:p w14:paraId="21862C93" w14:textId="77777777" w:rsidR="004B4CD2" w:rsidRPr="004B4CD2" w:rsidRDefault="008B6E55" w:rsidP="00404624">
            <w:pPr>
              <w:spacing w:before="120" w:after="120"/>
              <w:rPr>
                <w:rFonts w:asciiTheme="minorHAnsi" w:hAnsiTheme="minorHAnsi" w:cstheme="minorHAnsi"/>
                <w:lang w:val="mk-MK"/>
              </w:rPr>
            </w:pPr>
            <w:r>
              <w:rPr>
                <w:rFonts w:asciiTheme="minorHAnsi" w:hAnsiTheme="minorHAnsi" w:cstheme="minorHAnsi"/>
                <w:sz w:val="22"/>
                <w:szCs w:val="22"/>
                <w:lang w:val="en-US"/>
              </w:rPr>
              <w:t>238.011</w:t>
            </w:r>
            <w:r w:rsidR="006956EA">
              <w:rPr>
                <w:rFonts w:asciiTheme="minorHAnsi" w:hAnsiTheme="minorHAnsi" w:cstheme="minorHAnsi"/>
                <w:sz w:val="22"/>
                <w:szCs w:val="22"/>
                <w:lang w:val="mk-MK"/>
              </w:rPr>
              <w:t xml:space="preserve"> </w:t>
            </w:r>
            <w:r w:rsidR="004B4CD2" w:rsidRPr="004B4CD2">
              <w:rPr>
                <w:rFonts w:asciiTheme="minorHAnsi" w:hAnsiTheme="minorHAnsi" w:cstheme="minorHAnsi"/>
                <w:sz w:val="22"/>
                <w:szCs w:val="22"/>
                <w:lang w:val="mk-MK"/>
              </w:rPr>
              <w:t>илјади денари</w:t>
            </w:r>
          </w:p>
        </w:tc>
      </w:tr>
      <w:tr w:rsidR="004B4CD2" w:rsidRPr="004B4CD2" w14:paraId="29CBFBAA" w14:textId="77777777" w:rsidTr="00404624">
        <w:tc>
          <w:tcPr>
            <w:tcW w:w="1911" w:type="dxa"/>
            <w:tcBorders>
              <w:bottom w:val="single" w:sz="4" w:space="0" w:color="auto"/>
            </w:tcBorders>
            <w:vAlign w:val="center"/>
          </w:tcPr>
          <w:p w14:paraId="55AF4B37" w14:textId="77777777" w:rsidR="004B4CD2" w:rsidRPr="004B4CD2" w:rsidRDefault="004B4CD2" w:rsidP="00404624">
            <w:pPr>
              <w:rPr>
                <w:rFonts w:asciiTheme="minorHAnsi" w:hAnsiTheme="minorHAnsi" w:cstheme="minorHAnsi"/>
                <w:lang w:val="ru-RU"/>
              </w:rPr>
            </w:pPr>
            <w:r w:rsidRPr="004B4CD2">
              <w:rPr>
                <w:rFonts w:asciiTheme="minorHAnsi" w:hAnsiTheme="minorHAnsi" w:cstheme="minorHAnsi"/>
                <w:sz w:val="22"/>
                <w:szCs w:val="22"/>
                <w:lang w:val="ru-RU"/>
              </w:rPr>
              <w:t>Движењето на исправката на вредност, односно издвоената посебна резерва во текот на периодот за кој се објавува (состојба на почетокот на периодот за кој се објавува, извршена дополни-телна исправка на вредноста, односно издвоена посебна резерва, ослободува</w:t>
            </w:r>
            <w:r w:rsidRPr="004B4CD2">
              <w:rPr>
                <w:rFonts w:asciiTheme="minorHAnsi" w:hAnsiTheme="minorHAnsi" w:cstheme="minorHAnsi"/>
                <w:sz w:val="22"/>
                <w:szCs w:val="22"/>
                <w:lang w:val="ru-RU"/>
              </w:rPr>
              <w:softHyphen/>
              <w:t xml:space="preserve">ње на исправката на вредноста, односно на посебната резерва, </w:t>
            </w:r>
            <w:r w:rsidRPr="004B4CD2">
              <w:rPr>
                <w:rFonts w:asciiTheme="minorHAnsi" w:hAnsiTheme="minorHAnsi" w:cstheme="minorHAnsi"/>
                <w:sz w:val="22"/>
                <w:szCs w:val="22"/>
              </w:rPr>
              <w:t xml:space="preserve">ослободување по основ на преземени средства од ненаплатени побарувања, </w:t>
            </w:r>
            <w:r w:rsidRPr="004B4CD2">
              <w:rPr>
                <w:rFonts w:asciiTheme="minorHAnsi" w:hAnsiTheme="minorHAnsi" w:cstheme="minorHAnsi"/>
                <w:sz w:val="22"/>
                <w:szCs w:val="22"/>
                <w:lang w:val="ru-RU"/>
              </w:rPr>
              <w:t>отписи во текот на периодот за кој се објавува</w:t>
            </w:r>
            <w:r w:rsidRPr="004B4CD2">
              <w:rPr>
                <w:rFonts w:asciiTheme="minorHAnsi" w:hAnsiTheme="minorHAnsi" w:cstheme="minorHAnsi"/>
                <w:sz w:val="22"/>
                <w:szCs w:val="22"/>
              </w:rPr>
              <w:t>,</w:t>
            </w:r>
            <w:r w:rsidRPr="004B4CD2">
              <w:rPr>
                <w:rFonts w:asciiTheme="minorHAnsi" w:hAnsiTheme="minorHAnsi" w:cstheme="minorHAnsi"/>
                <w:sz w:val="22"/>
                <w:szCs w:val="22"/>
                <w:lang w:val="ru-RU"/>
              </w:rPr>
              <w:t xml:space="preserve"> </w:t>
            </w:r>
            <w:r w:rsidRPr="004B4CD2">
              <w:rPr>
                <w:rFonts w:asciiTheme="minorHAnsi" w:hAnsiTheme="minorHAnsi" w:cstheme="minorHAnsi"/>
                <w:sz w:val="22"/>
                <w:szCs w:val="22"/>
                <w:lang w:val="ru-RU"/>
              </w:rPr>
              <w:lastRenderedPageBreak/>
              <w:t>состојба на крајот на периодот за кој се објавува</w:t>
            </w:r>
            <w:r w:rsidRPr="004B4CD2">
              <w:rPr>
                <w:rFonts w:asciiTheme="minorHAnsi" w:hAnsiTheme="minorHAnsi" w:cstheme="minorHAnsi"/>
                <w:sz w:val="22"/>
                <w:szCs w:val="22"/>
              </w:rPr>
              <w:t xml:space="preserve"> и состојба на отпишани побарувања на крајот на периодот за кој се известува</w:t>
            </w:r>
            <w:r w:rsidRPr="004B4CD2">
              <w:rPr>
                <w:rFonts w:asciiTheme="minorHAnsi" w:hAnsiTheme="minorHAnsi" w:cstheme="minorHAnsi"/>
                <w:sz w:val="22"/>
                <w:szCs w:val="22"/>
                <w:lang w:val="ru-RU"/>
              </w:rPr>
              <w:t>)</w:t>
            </w:r>
          </w:p>
        </w:tc>
        <w:tc>
          <w:tcPr>
            <w:tcW w:w="7836" w:type="dxa"/>
            <w:tcBorders>
              <w:bottom w:val="single" w:sz="4" w:space="0" w:color="auto"/>
            </w:tcBorders>
            <w:vAlign w:val="center"/>
          </w:tcPr>
          <w:p w14:paraId="6426CC36" w14:textId="77777777" w:rsidR="007948B3" w:rsidRPr="00994834" w:rsidRDefault="007948B3" w:rsidP="007948B3">
            <w:pPr>
              <w:spacing w:before="120" w:after="120"/>
              <w:rPr>
                <w:rFonts w:asciiTheme="minorHAnsi" w:hAnsiTheme="minorHAnsi" w:cstheme="minorHAnsi"/>
                <w:sz w:val="22"/>
                <w:szCs w:val="22"/>
                <w:lang w:val="mk-MK"/>
              </w:rPr>
            </w:pPr>
            <w:r w:rsidRPr="00186C7E">
              <w:rPr>
                <w:rFonts w:asciiTheme="minorHAnsi" w:hAnsiTheme="minorHAnsi" w:cstheme="minorHAnsi"/>
                <w:sz w:val="22"/>
                <w:szCs w:val="22"/>
                <w:lang w:val="mk-MK"/>
              </w:rPr>
              <w:lastRenderedPageBreak/>
              <w:t xml:space="preserve">Почетна состојба на исправка на вредност и издвоена посебна резерва на </w:t>
            </w:r>
            <w:r w:rsidRPr="00994834">
              <w:rPr>
                <w:rFonts w:asciiTheme="minorHAnsi" w:hAnsiTheme="minorHAnsi" w:cstheme="minorHAnsi"/>
                <w:sz w:val="22"/>
                <w:szCs w:val="22"/>
                <w:lang w:val="mk-MK"/>
              </w:rPr>
              <w:t xml:space="preserve"> 01.01.2022 – 167.537 </w:t>
            </w:r>
            <w:r w:rsidRPr="00186C7E">
              <w:rPr>
                <w:rFonts w:asciiTheme="minorHAnsi" w:hAnsiTheme="minorHAnsi" w:cstheme="minorHAnsi"/>
                <w:sz w:val="22"/>
                <w:szCs w:val="22"/>
                <w:lang w:val="mk-MK"/>
              </w:rPr>
              <w:t>илјади денари</w:t>
            </w:r>
          </w:p>
          <w:p w14:paraId="3F750CB5" w14:textId="77777777" w:rsidR="007948B3" w:rsidRPr="00994834" w:rsidRDefault="007948B3" w:rsidP="007948B3">
            <w:pPr>
              <w:spacing w:before="120" w:after="120"/>
              <w:rPr>
                <w:rFonts w:asciiTheme="minorHAnsi" w:hAnsiTheme="minorHAnsi" w:cstheme="minorHAnsi"/>
                <w:sz w:val="22"/>
                <w:szCs w:val="22"/>
                <w:lang w:val="mk-MK"/>
              </w:rPr>
            </w:pPr>
            <w:r w:rsidRPr="00994834">
              <w:rPr>
                <w:rFonts w:asciiTheme="minorHAnsi" w:hAnsiTheme="minorHAnsi" w:cstheme="minorHAnsi"/>
                <w:sz w:val="22"/>
                <w:szCs w:val="22"/>
                <w:lang w:val="mk-MK"/>
              </w:rPr>
              <w:t>Дополнителна  исправка на вредноста, односно издвоена посебна резерва   40.457 илјади денари</w:t>
            </w:r>
          </w:p>
          <w:p w14:paraId="08755479" w14:textId="77777777" w:rsidR="007948B3" w:rsidRPr="00994834" w:rsidRDefault="007948B3" w:rsidP="007948B3">
            <w:pPr>
              <w:spacing w:before="120" w:after="120"/>
              <w:rPr>
                <w:rFonts w:asciiTheme="minorHAnsi" w:hAnsiTheme="minorHAnsi" w:cstheme="minorHAnsi"/>
                <w:sz w:val="22"/>
                <w:szCs w:val="22"/>
                <w:lang w:val="mk-MK"/>
              </w:rPr>
            </w:pPr>
            <w:r w:rsidRPr="00186C7E">
              <w:rPr>
                <w:rFonts w:asciiTheme="minorHAnsi" w:hAnsiTheme="minorHAnsi" w:cstheme="minorHAnsi"/>
                <w:sz w:val="22"/>
                <w:szCs w:val="22"/>
                <w:lang w:val="mk-MK"/>
              </w:rPr>
              <w:t xml:space="preserve">Ослободување на  исправка на вредноста, односно издвоена посебна резерва </w:t>
            </w:r>
            <w:r w:rsidRPr="00994834">
              <w:rPr>
                <w:rFonts w:asciiTheme="minorHAnsi" w:hAnsiTheme="minorHAnsi" w:cstheme="minorHAnsi"/>
                <w:sz w:val="22"/>
                <w:szCs w:val="22"/>
                <w:lang w:val="mk-MK"/>
              </w:rPr>
              <w:t xml:space="preserve"> 40.153 </w:t>
            </w:r>
            <w:r w:rsidRPr="00186C7E">
              <w:rPr>
                <w:rFonts w:asciiTheme="minorHAnsi" w:hAnsiTheme="minorHAnsi" w:cstheme="minorHAnsi"/>
                <w:sz w:val="22"/>
                <w:szCs w:val="22"/>
                <w:lang w:val="mk-MK"/>
              </w:rPr>
              <w:t>илјади денари</w:t>
            </w:r>
          </w:p>
          <w:p w14:paraId="18365BD5" w14:textId="77777777" w:rsidR="007948B3" w:rsidRPr="00994834" w:rsidRDefault="007948B3" w:rsidP="007948B3">
            <w:pPr>
              <w:spacing w:before="120" w:after="120"/>
              <w:rPr>
                <w:rFonts w:asciiTheme="minorHAnsi" w:hAnsiTheme="minorHAnsi" w:cstheme="minorHAnsi"/>
                <w:sz w:val="22"/>
                <w:szCs w:val="22"/>
                <w:lang w:val="mk-MK"/>
              </w:rPr>
            </w:pPr>
            <w:r w:rsidRPr="00186C7E">
              <w:rPr>
                <w:rFonts w:asciiTheme="minorHAnsi" w:hAnsiTheme="minorHAnsi" w:cstheme="minorHAnsi"/>
                <w:sz w:val="22"/>
                <w:szCs w:val="22"/>
                <w:lang w:val="mk-MK"/>
              </w:rPr>
              <w:t xml:space="preserve">Отпишани побарувања во текот на  </w:t>
            </w:r>
            <w:r w:rsidRPr="00994834">
              <w:rPr>
                <w:rFonts w:asciiTheme="minorHAnsi" w:hAnsiTheme="minorHAnsi" w:cstheme="minorHAnsi"/>
                <w:sz w:val="22"/>
                <w:szCs w:val="22"/>
                <w:lang w:val="mk-MK"/>
              </w:rPr>
              <w:t xml:space="preserve"> 2022 – 314 </w:t>
            </w:r>
            <w:r w:rsidRPr="00186C7E">
              <w:rPr>
                <w:rFonts w:asciiTheme="minorHAnsi" w:hAnsiTheme="minorHAnsi" w:cstheme="minorHAnsi"/>
                <w:sz w:val="22"/>
                <w:szCs w:val="22"/>
                <w:lang w:val="mk-MK"/>
              </w:rPr>
              <w:t xml:space="preserve"> илјади денари</w:t>
            </w:r>
          </w:p>
          <w:p w14:paraId="786DC4DB" w14:textId="77777777" w:rsidR="007948B3" w:rsidRPr="00994834" w:rsidRDefault="007948B3" w:rsidP="007948B3">
            <w:pPr>
              <w:spacing w:before="120" w:after="120"/>
              <w:rPr>
                <w:rFonts w:asciiTheme="minorHAnsi" w:hAnsiTheme="minorHAnsi" w:cstheme="minorHAnsi"/>
                <w:sz w:val="22"/>
                <w:szCs w:val="22"/>
                <w:lang w:val="mk-MK"/>
              </w:rPr>
            </w:pPr>
            <w:r w:rsidRPr="00994834">
              <w:rPr>
                <w:rFonts w:asciiTheme="minorHAnsi" w:hAnsiTheme="minorHAnsi" w:cstheme="minorHAnsi"/>
                <w:sz w:val="22"/>
                <w:szCs w:val="22"/>
                <w:lang w:val="mk-MK"/>
              </w:rPr>
              <w:t>Ефект од курсни разлики  23  илјади денари</w:t>
            </w:r>
          </w:p>
          <w:p w14:paraId="2625F488" w14:textId="77777777" w:rsidR="007948B3" w:rsidRPr="00994834" w:rsidRDefault="007948B3" w:rsidP="007948B3">
            <w:pPr>
              <w:spacing w:before="120" w:after="120"/>
              <w:rPr>
                <w:rFonts w:asciiTheme="minorHAnsi" w:hAnsiTheme="minorHAnsi" w:cstheme="minorHAnsi"/>
                <w:sz w:val="22"/>
                <w:szCs w:val="22"/>
                <w:lang w:val="mk-MK"/>
              </w:rPr>
            </w:pPr>
            <w:r w:rsidRPr="00186C7E">
              <w:rPr>
                <w:rFonts w:asciiTheme="minorHAnsi" w:hAnsiTheme="minorHAnsi" w:cstheme="minorHAnsi"/>
                <w:sz w:val="22"/>
                <w:szCs w:val="22"/>
                <w:lang w:val="mk-MK"/>
              </w:rPr>
              <w:t xml:space="preserve">Состојба на исправка на вредност и издвоена посебна резерва на </w:t>
            </w:r>
            <w:r w:rsidRPr="00994834">
              <w:rPr>
                <w:rFonts w:asciiTheme="minorHAnsi" w:hAnsiTheme="minorHAnsi" w:cstheme="minorHAnsi"/>
                <w:sz w:val="22"/>
                <w:szCs w:val="22"/>
                <w:lang w:val="mk-MK"/>
              </w:rPr>
              <w:t>30.06.2022</w:t>
            </w:r>
            <w:r w:rsidRPr="00186C7E">
              <w:rPr>
                <w:rFonts w:asciiTheme="minorHAnsi" w:hAnsiTheme="minorHAnsi" w:cstheme="minorHAnsi"/>
                <w:sz w:val="22"/>
                <w:szCs w:val="22"/>
                <w:lang w:val="mk-MK"/>
              </w:rPr>
              <w:t xml:space="preserve"> = </w:t>
            </w:r>
            <w:r w:rsidRPr="00994834">
              <w:rPr>
                <w:rFonts w:asciiTheme="minorHAnsi" w:hAnsiTheme="minorHAnsi" w:cstheme="minorHAnsi"/>
                <w:sz w:val="22"/>
                <w:szCs w:val="22"/>
                <w:lang w:val="mk-MK"/>
              </w:rPr>
              <w:t xml:space="preserve">   167.550</w:t>
            </w:r>
            <w:r w:rsidRPr="00186C7E">
              <w:rPr>
                <w:rFonts w:asciiTheme="minorHAnsi" w:hAnsiTheme="minorHAnsi" w:cstheme="minorHAnsi"/>
                <w:sz w:val="22"/>
                <w:szCs w:val="22"/>
                <w:lang w:val="mk-MK"/>
              </w:rPr>
              <w:t xml:space="preserve"> илјади денари</w:t>
            </w:r>
          </w:p>
          <w:p w14:paraId="1922B956" w14:textId="77777777" w:rsidR="007948B3" w:rsidRPr="00994834" w:rsidRDefault="007948B3" w:rsidP="007948B3">
            <w:pPr>
              <w:spacing w:before="120" w:after="120"/>
              <w:rPr>
                <w:rFonts w:asciiTheme="minorHAnsi" w:hAnsiTheme="minorHAnsi" w:cstheme="minorHAnsi"/>
                <w:sz w:val="22"/>
                <w:szCs w:val="22"/>
                <w:lang w:val="mk-MK"/>
              </w:rPr>
            </w:pPr>
            <w:r w:rsidRPr="00994834">
              <w:rPr>
                <w:rFonts w:asciiTheme="minorHAnsi" w:hAnsiTheme="minorHAnsi" w:cstheme="minorHAnsi"/>
                <w:sz w:val="22"/>
                <w:szCs w:val="22"/>
                <w:lang w:val="mk-MK"/>
              </w:rPr>
              <w:t>Состојбата на отпишани побарувања на 30.06.2022 изнесува    998.761 илјади денари</w:t>
            </w:r>
          </w:p>
          <w:p w14:paraId="09B2C213" w14:textId="77777777" w:rsidR="004B4CD2" w:rsidRPr="004B4CD2" w:rsidRDefault="004B4CD2" w:rsidP="007948B3">
            <w:pPr>
              <w:spacing w:before="120" w:after="120"/>
              <w:rPr>
                <w:rFonts w:asciiTheme="minorHAnsi" w:hAnsiTheme="minorHAnsi" w:cstheme="minorHAnsi"/>
                <w:lang w:val="mk-MK"/>
              </w:rPr>
            </w:pPr>
          </w:p>
        </w:tc>
      </w:tr>
      <w:tr w:rsidR="004B4CD2" w:rsidRPr="004B4CD2" w14:paraId="55C505AB" w14:textId="77777777" w:rsidTr="00404624">
        <w:tc>
          <w:tcPr>
            <w:tcW w:w="9747" w:type="dxa"/>
            <w:gridSpan w:val="2"/>
            <w:shd w:val="clear" w:color="auto" w:fill="000082"/>
          </w:tcPr>
          <w:p w14:paraId="11827B68" w14:textId="77777777" w:rsidR="004B4CD2" w:rsidRPr="004B4CD2" w:rsidRDefault="004B4CD2" w:rsidP="00404624">
            <w:pPr>
              <w:rPr>
                <w:rFonts w:asciiTheme="minorHAnsi" w:hAnsiTheme="minorHAnsi" w:cstheme="minorHAnsi"/>
                <w:b/>
                <w:caps/>
                <w:color w:val="FFFFFF"/>
                <w:lang w:val="ru-RU"/>
              </w:rPr>
            </w:pPr>
            <w:r w:rsidRPr="004B4CD2">
              <w:rPr>
                <w:rFonts w:asciiTheme="minorHAnsi" w:hAnsiTheme="minorHAnsi" w:cstheme="minorHAnsi"/>
                <w:b/>
                <w:caps/>
                <w:color w:val="FFFFFF"/>
                <w:sz w:val="22"/>
                <w:szCs w:val="22"/>
                <w:lang w:val="ru-RU"/>
              </w:rPr>
              <w:t>4.2 Податоци за управување со пазарниот ризик</w:t>
            </w:r>
          </w:p>
        </w:tc>
      </w:tr>
      <w:tr w:rsidR="004B4CD2" w:rsidRPr="004B4CD2" w14:paraId="69BBB92F" w14:textId="77777777" w:rsidTr="00404624">
        <w:tc>
          <w:tcPr>
            <w:tcW w:w="1911" w:type="dxa"/>
            <w:tcBorders>
              <w:bottom w:val="single" w:sz="4" w:space="0" w:color="auto"/>
            </w:tcBorders>
          </w:tcPr>
          <w:p w14:paraId="02775681" w14:textId="77777777" w:rsidR="004B4CD2" w:rsidRPr="004B4CD2" w:rsidRDefault="004B4CD2" w:rsidP="00404624">
            <w:pPr>
              <w:rPr>
                <w:rFonts w:asciiTheme="minorHAnsi" w:hAnsiTheme="minorHAnsi" w:cstheme="minorHAnsi"/>
                <w:lang w:val="ru-RU"/>
              </w:rPr>
            </w:pPr>
            <w:r w:rsidRPr="004B4CD2">
              <w:rPr>
                <w:rFonts w:asciiTheme="minorHAnsi" w:hAnsiTheme="minorHAnsi" w:cstheme="minorHAnsi"/>
                <w:sz w:val="22"/>
                <w:szCs w:val="22"/>
                <w:lang w:val="ru-RU"/>
              </w:rPr>
              <w:t>Податоци за структурата на портфолиото за тргување по одделни видови финансиски инструменти, како и за политиките кои ги применува за распоредување на одредена позиција во портфолиото за тргување или во портфолиото на банкарски активности.</w:t>
            </w:r>
          </w:p>
        </w:tc>
        <w:tc>
          <w:tcPr>
            <w:tcW w:w="7836" w:type="dxa"/>
            <w:tcBorders>
              <w:bottom w:val="single" w:sz="4" w:space="0" w:color="auto"/>
            </w:tcBorders>
            <w:vAlign w:val="center"/>
          </w:tcPr>
          <w:p w14:paraId="373E3D20" w14:textId="77777777" w:rsidR="004B4CD2" w:rsidRPr="004B4CD2" w:rsidRDefault="004B4CD2" w:rsidP="00404624">
            <w:pPr>
              <w:spacing w:before="120" w:after="120"/>
              <w:rPr>
                <w:rFonts w:asciiTheme="minorHAnsi" w:hAnsiTheme="minorHAnsi" w:cstheme="minorHAnsi"/>
                <w:lang w:val="mk-MK"/>
              </w:rPr>
            </w:pPr>
            <w:r w:rsidRPr="004B4CD2">
              <w:rPr>
                <w:rFonts w:asciiTheme="minorHAnsi" w:hAnsiTheme="minorHAnsi" w:cstheme="minorHAnsi"/>
                <w:sz w:val="22"/>
                <w:szCs w:val="22"/>
                <w:lang w:val="mk-MK"/>
              </w:rPr>
              <w:t>Банката ги распоредува позициите исклучиво во портфолиото на банкарски активности.</w:t>
            </w:r>
          </w:p>
        </w:tc>
      </w:tr>
      <w:tr w:rsidR="004B4CD2" w:rsidRPr="004B4CD2" w14:paraId="0CD582A9" w14:textId="77777777" w:rsidTr="00404624">
        <w:tc>
          <w:tcPr>
            <w:tcW w:w="9747" w:type="dxa"/>
            <w:gridSpan w:val="2"/>
            <w:shd w:val="clear" w:color="auto" w:fill="000082"/>
            <w:vAlign w:val="center"/>
          </w:tcPr>
          <w:p w14:paraId="61BC38A2" w14:textId="77777777" w:rsidR="004B4CD2" w:rsidRPr="004B4CD2" w:rsidRDefault="004B4CD2" w:rsidP="00404624">
            <w:pPr>
              <w:rPr>
                <w:rFonts w:asciiTheme="minorHAnsi" w:hAnsiTheme="minorHAnsi" w:cstheme="minorHAnsi"/>
                <w:b/>
                <w:caps/>
                <w:color w:val="FFFFFF"/>
                <w:lang w:val="ru-RU"/>
              </w:rPr>
            </w:pPr>
            <w:r w:rsidRPr="004B4CD2">
              <w:rPr>
                <w:rFonts w:asciiTheme="minorHAnsi" w:hAnsiTheme="minorHAnsi" w:cstheme="minorHAnsi"/>
                <w:b/>
                <w:caps/>
                <w:color w:val="FFFFFF"/>
                <w:sz w:val="22"/>
                <w:szCs w:val="22"/>
                <w:lang w:val="ru-RU"/>
              </w:rPr>
              <w:t>4.3 Податоци за управувањето со оперативниот ризик</w:t>
            </w:r>
          </w:p>
        </w:tc>
      </w:tr>
      <w:tr w:rsidR="004B4CD2" w:rsidRPr="004B4CD2" w14:paraId="592B8A2C" w14:textId="77777777" w:rsidTr="00404624">
        <w:tc>
          <w:tcPr>
            <w:tcW w:w="1911" w:type="dxa"/>
            <w:tcBorders>
              <w:bottom w:val="single" w:sz="4" w:space="0" w:color="auto"/>
            </w:tcBorders>
            <w:vAlign w:val="center"/>
          </w:tcPr>
          <w:p w14:paraId="76023EC5" w14:textId="77777777" w:rsidR="004B4CD2" w:rsidRPr="004B4CD2" w:rsidRDefault="004B4CD2" w:rsidP="00404624">
            <w:pPr>
              <w:rPr>
                <w:rFonts w:asciiTheme="minorHAnsi" w:hAnsiTheme="minorHAnsi" w:cstheme="minorHAnsi"/>
                <w:lang w:val="ru-RU"/>
              </w:rPr>
            </w:pPr>
            <w:r w:rsidRPr="004B4CD2">
              <w:rPr>
                <w:rFonts w:asciiTheme="minorHAnsi" w:hAnsiTheme="minorHAnsi" w:cstheme="minorHAnsi"/>
                <w:sz w:val="22"/>
                <w:szCs w:val="22"/>
                <w:lang w:val="ru-RU"/>
              </w:rPr>
              <w:t>Основни податоци за приста</w:t>
            </w:r>
            <w:r w:rsidRPr="004B4CD2">
              <w:rPr>
                <w:rFonts w:asciiTheme="minorHAnsi" w:hAnsiTheme="minorHAnsi" w:cstheme="minorHAnsi"/>
                <w:sz w:val="22"/>
                <w:szCs w:val="22"/>
                <w:lang w:val="ru-RU"/>
              </w:rPr>
              <w:softHyphen/>
              <w:t>пот кој го користи за пресметка на капиталот потребен за покривање на оперативниот ризик</w:t>
            </w:r>
          </w:p>
        </w:tc>
        <w:tc>
          <w:tcPr>
            <w:tcW w:w="7836" w:type="dxa"/>
            <w:tcBorders>
              <w:bottom w:val="single" w:sz="4" w:space="0" w:color="auto"/>
            </w:tcBorders>
            <w:vAlign w:val="center"/>
          </w:tcPr>
          <w:p w14:paraId="4F2F004E" w14:textId="77777777" w:rsidR="004B4CD2" w:rsidRPr="004B4CD2" w:rsidRDefault="004B4CD2" w:rsidP="00404624">
            <w:pPr>
              <w:spacing w:before="120" w:after="120"/>
              <w:rPr>
                <w:rFonts w:asciiTheme="minorHAnsi" w:hAnsiTheme="minorHAnsi" w:cstheme="minorHAnsi"/>
                <w:lang w:val="mk-MK"/>
              </w:rPr>
            </w:pPr>
            <w:r w:rsidRPr="004B4CD2">
              <w:rPr>
                <w:rFonts w:asciiTheme="minorHAnsi" w:hAnsiTheme="minorHAnsi" w:cstheme="minorHAnsi"/>
                <w:sz w:val="22"/>
                <w:szCs w:val="22"/>
                <w:lang w:val="mk-MK"/>
              </w:rPr>
              <w:t>Банката користи пристап на базичен индикатор.</w:t>
            </w:r>
          </w:p>
        </w:tc>
      </w:tr>
      <w:tr w:rsidR="004B4CD2" w:rsidRPr="004B4CD2" w14:paraId="769A4334" w14:textId="77777777" w:rsidTr="00404624">
        <w:tc>
          <w:tcPr>
            <w:tcW w:w="9747" w:type="dxa"/>
            <w:gridSpan w:val="2"/>
            <w:shd w:val="clear" w:color="auto" w:fill="000082"/>
            <w:vAlign w:val="center"/>
          </w:tcPr>
          <w:p w14:paraId="7660B204" w14:textId="77777777" w:rsidR="004B4CD2" w:rsidRPr="004B4CD2" w:rsidRDefault="004B4CD2" w:rsidP="00404624">
            <w:pPr>
              <w:rPr>
                <w:rFonts w:asciiTheme="minorHAnsi" w:hAnsiTheme="minorHAnsi" w:cstheme="minorHAnsi"/>
                <w:b/>
                <w:caps/>
                <w:color w:val="FFFFFF"/>
                <w:lang w:val="ru-RU"/>
              </w:rPr>
            </w:pPr>
            <w:r w:rsidRPr="004B4CD2">
              <w:rPr>
                <w:rFonts w:asciiTheme="minorHAnsi" w:hAnsiTheme="minorHAnsi" w:cstheme="minorHAnsi"/>
                <w:b/>
                <w:caps/>
                <w:color w:val="FFFFFF"/>
                <w:sz w:val="22"/>
                <w:szCs w:val="22"/>
                <w:lang w:val="ru-RU"/>
              </w:rPr>
              <w:t>4.4 Податоци за ризикот кој произлегува од капиталните вложувања (стекнување капитални де</w:t>
            </w:r>
            <w:r w:rsidRPr="004B4CD2">
              <w:rPr>
                <w:rFonts w:asciiTheme="minorHAnsi" w:hAnsiTheme="minorHAnsi" w:cstheme="minorHAnsi"/>
                <w:b/>
                <w:caps/>
                <w:color w:val="FFFFFF"/>
                <w:sz w:val="22"/>
                <w:szCs w:val="22"/>
                <w:lang w:val="ru-RU"/>
              </w:rPr>
              <w:softHyphen/>
              <w:t>лови), кои не се дел од портфолиото за тргување</w:t>
            </w:r>
          </w:p>
        </w:tc>
      </w:tr>
      <w:tr w:rsidR="004B4CD2" w:rsidRPr="004B4CD2" w14:paraId="584BD0BB" w14:textId="77777777" w:rsidTr="00404624">
        <w:tc>
          <w:tcPr>
            <w:tcW w:w="1911" w:type="dxa"/>
            <w:vAlign w:val="center"/>
          </w:tcPr>
          <w:p w14:paraId="1711168F" w14:textId="77777777" w:rsidR="004B4CD2" w:rsidRPr="004B4CD2" w:rsidRDefault="004B4CD2" w:rsidP="00404624">
            <w:pPr>
              <w:rPr>
                <w:rFonts w:asciiTheme="minorHAnsi" w:hAnsiTheme="minorHAnsi" w:cstheme="minorHAnsi"/>
                <w:lang w:val="ru-RU"/>
              </w:rPr>
            </w:pPr>
            <w:r w:rsidRPr="004B4CD2">
              <w:rPr>
                <w:rFonts w:asciiTheme="minorHAnsi" w:hAnsiTheme="minorHAnsi" w:cstheme="minorHAnsi"/>
                <w:sz w:val="22"/>
                <w:szCs w:val="22"/>
                <w:lang w:val="ru-RU"/>
              </w:rPr>
              <w:t>Краток опис на стратегијата на Банката за стекну</w:t>
            </w:r>
            <w:r w:rsidRPr="004B4CD2">
              <w:rPr>
                <w:rFonts w:asciiTheme="minorHAnsi" w:hAnsiTheme="minorHAnsi" w:cstheme="minorHAnsi"/>
                <w:sz w:val="22"/>
                <w:szCs w:val="22"/>
                <w:lang w:val="ru-RU"/>
              </w:rPr>
              <w:softHyphen/>
              <w:t>вање капитални делови во други правни лица</w:t>
            </w:r>
          </w:p>
        </w:tc>
        <w:tc>
          <w:tcPr>
            <w:tcW w:w="7836" w:type="dxa"/>
            <w:vAlign w:val="center"/>
          </w:tcPr>
          <w:p w14:paraId="059B1863" w14:textId="77777777" w:rsidR="00E25810" w:rsidRDefault="004B4CD2" w:rsidP="00452CA1">
            <w:pPr>
              <w:spacing w:before="120" w:after="120"/>
              <w:jc w:val="both"/>
              <w:rPr>
                <w:rFonts w:asciiTheme="minorHAnsi" w:hAnsiTheme="minorHAnsi" w:cstheme="minorHAnsi"/>
                <w:lang w:val="mk-MK"/>
              </w:rPr>
            </w:pPr>
            <w:r w:rsidRPr="004B4CD2">
              <w:rPr>
                <w:rFonts w:asciiTheme="minorHAnsi" w:hAnsiTheme="minorHAnsi" w:cstheme="minorHAnsi"/>
                <w:sz w:val="22"/>
                <w:szCs w:val="22"/>
                <w:lang w:val="mk-MK"/>
              </w:rPr>
              <w:t>Банката ги следи својата стратегија и интерните акти кои се во насока на чување на</w:t>
            </w:r>
            <w:r w:rsidR="00E25810">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хартиите од</w:t>
            </w:r>
            <w:r w:rsidR="00E25810">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вредност во портфолиото на банкарски активности на банката како хартии расположиви</w:t>
            </w:r>
            <w:r w:rsidR="00E25810">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за</w:t>
            </w:r>
            <w:r w:rsidR="00E25810">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 xml:space="preserve">продажба, а не во портфолио за тргување. </w:t>
            </w:r>
          </w:p>
          <w:p w14:paraId="2A03366E" w14:textId="77777777" w:rsidR="004B4CD2" w:rsidRPr="004B4CD2" w:rsidRDefault="004B4CD2" w:rsidP="00452CA1">
            <w:pPr>
              <w:spacing w:before="120" w:after="120"/>
              <w:jc w:val="both"/>
              <w:rPr>
                <w:rFonts w:asciiTheme="minorHAnsi" w:hAnsiTheme="minorHAnsi" w:cstheme="minorHAnsi"/>
                <w:lang w:val="mk-MK"/>
              </w:rPr>
            </w:pPr>
            <w:r w:rsidRPr="004B4CD2">
              <w:rPr>
                <w:rFonts w:asciiTheme="minorHAnsi" w:hAnsiTheme="minorHAnsi" w:cstheme="minorHAnsi"/>
                <w:sz w:val="22"/>
                <w:szCs w:val="22"/>
                <w:lang w:val="mk-MK"/>
              </w:rPr>
              <w:t>Портфолиото на хартии од вредност на Банката госочинуваат хартии од вредност без никаков или во краен случај со минимален степен на</w:t>
            </w:r>
            <w:r w:rsidR="00E25810">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ризичност. Банката инвестира во најквалитетни и најликвидни хартии од вредност, водејќи строго</w:t>
            </w:r>
            <w:r w:rsidR="00E25810">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сметка да ги минимизира ризиците кои може да се појават при работењето со хартии од</w:t>
            </w:r>
            <w:r w:rsidR="00452CA1">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 xml:space="preserve">вредност. </w:t>
            </w:r>
          </w:p>
        </w:tc>
      </w:tr>
      <w:tr w:rsidR="004B4CD2" w:rsidRPr="004B4CD2" w14:paraId="49C80970" w14:textId="77777777" w:rsidTr="00404624">
        <w:tc>
          <w:tcPr>
            <w:tcW w:w="1911" w:type="dxa"/>
            <w:vAlign w:val="center"/>
          </w:tcPr>
          <w:p w14:paraId="6F938DAB" w14:textId="77777777" w:rsidR="004B4CD2" w:rsidRPr="004B4CD2" w:rsidRDefault="004B4CD2" w:rsidP="00404624">
            <w:pPr>
              <w:rPr>
                <w:rFonts w:asciiTheme="minorHAnsi" w:hAnsiTheme="minorHAnsi" w:cstheme="minorHAnsi"/>
                <w:lang w:val="ru-RU"/>
              </w:rPr>
            </w:pPr>
            <w:r w:rsidRPr="004B4CD2">
              <w:rPr>
                <w:rFonts w:asciiTheme="minorHAnsi" w:hAnsiTheme="minorHAnsi" w:cstheme="minorHAnsi"/>
                <w:sz w:val="22"/>
                <w:szCs w:val="22"/>
                <w:lang w:val="ru-RU"/>
              </w:rPr>
              <w:t>Краток опис на политиката на Банката за сметко</w:t>
            </w:r>
            <w:r w:rsidRPr="004B4CD2">
              <w:rPr>
                <w:rFonts w:asciiTheme="minorHAnsi" w:hAnsiTheme="minorHAnsi" w:cstheme="minorHAnsi"/>
                <w:sz w:val="22"/>
                <w:szCs w:val="22"/>
                <w:lang w:val="ru-RU"/>
              </w:rPr>
              <w:softHyphen/>
              <w:t xml:space="preserve">водствено вреднување на </w:t>
            </w:r>
            <w:r w:rsidRPr="004B4CD2">
              <w:rPr>
                <w:rFonts w:asciiTheme="minorHAnsi" w:hAnsiTheme="minorHAnsi" w:cstheme="minorHAnsi"/>
                <w:sz w:val="22"/>
                <w:szCs w:val="22"/>
                <w:lang w:val="ru-RU"/>
              </w:rPr>
              <w:lastRenderedPageBreak/>
              <w:t>капиталните вложувања</w:t>
            </w:r>
          </w:p>
        </w:tc>
        <w:tc>
          <w:tcPr>
            <w:tcW w:w="7836" w:type="dxa"/>
            <w:vAlign w:val="center"/>
          </w:tcPr>
          <w:p w14:paraId="0AAEBD01" w14:textId="77777777" w:rsidR="004B4CD2" w:rsidRPr="004B4CD2" w:rsidRDefault="004B4CD2" w:rsidP="00C702B1">
            <w:pPr>
              <w:spacing w:before="120" w:after="120"/>
              <w:jc w:val="both"/>
              <w:rPr>
                <w:rFonts w:asciiTheme="minorHAnsi" w:hAnsiTheme="minorHAnsi" w:cstheme="minorHAnsi"/>
                <w:lang w:val="mk-MK"/>
              </w:rPr>
            </w:pPr>
            <w:r w:rsidRPr="004B4CD2">
              <w:rPr>
                <w:rFonts w:asciiTheme="minorHAnsi" w:hAnsiTheme="minorHAnsi" w:cstheme="minorHAnsi"/>
                <w:sz w:val="22"/>
                <w:szCs w:val="22"/>
                <w:lang w:val="mk-MK"/>
              </w:rPr>
              <w:lastRenderedPageBreak/>
              <w:t>Финансиските средства расположливи за продажба се оние средства кои се определени како</w:t>
            </w:r>
            <w:r w:rsidR="00C702B1">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расположливи за продажба. Овие средства вклучуваат благајнички записи, државни записи и</w:t>
            </w:r>
            <w:r w:rsidR="00C702B1">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вложувања во сопственички инструменти.</w:t>
            </w:r>
          </w:p>
          <w:p w14:paraId="6C9587C8" w14:textId="77777777" w:rsidR="004B4CD2" w:rsidRPr="004B4CD2" w:rsidRDefault="004B4CD2" w:rsidP="00C702B1">
            <w:pPr>
              <w:spacing w:before="120" w:after="120"/>
              <w:jc w:val="both"/>
              <w:rPr>
                <w:rFonts w:asciiTheme="minorHAnsi" w:hAnsiTheme="minorHAnsi" w:cstheme="minorHAnsi"/>
                <w:lang w:val="mk-MK"/>
              </w:rPr>
            </w:pPr>
            <w:r w:rsidRPr="004B4CD2">
              <w:rPr>
                <w:rFonts w:asciiTheme="minorHAnsi" w:hAnsiTheme="minorHAnsi" w:cstheme="minorHAnsi"/>
                <w:sz w:val="22"/>
                <w:szCs w:val="22"/>
                <w:lang w:val="mk-MK"/>
              </w:rPr>
              <w:lastRenderedPageBreak/>
              <w:t>Вложувања расположливи за продажба се прикажуваат според нивната објективна вредност со</w:t>
            </w:r>
            <w:r w:rsidR="00C702B1">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исклучок на финансиските средства кои немаат котирана пазарна цена и чија објективна вредност</w:t>
            </w:r>
            <w:r w:rsidR="00C702B1">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не може веродостојно да се измери, односно се мерат по набавна вредност намалена за загубите</w:t>
            </w:r>
            <w:r w:rsidRPr="004B4CD2">
              <w:rPr>
                <w:rFonts w:asciiTheme="minorHAnsi" w:hAnsiTheme="minorHAnsi" w:cstheme="minorHAnsi"/>
                <w:sz w:val="22"/>
                <w:szCs w:val="22"/>
                <w:lang w:val="mk-MK"/>
              </w:rPr>
              <w:br/>
              <w:t>поради оштетување.</w:t>
            </w:r>
          </w:p>
          <w:p w14:paraId="3F86FB3E" w14:textId="77777777" w:rsidR="004B4CD2" w:rsidRPr="004B4CD2" w:rsidRDefault="004B4CD2" w:rsidP="00C702B1">
            <w:pPr>
              <w:spacing w:before="120" w:after="120"/>
              <w:jc w:val="both"/>
              <w:rPr>
                <w:rFonts w:asciiTheme="minorHAnsi" w:hAnsiTheme="minorHAnsi" w:cstheme="minorHAnsi"/>
                <w:lang w:val="mk-MK"/>
              </w:rPr>
            </w:pPr>
            <w:r w:rsidRPr="004B4CD2">
              <w:rPr>
                <w:rFonts w:asciiTheme="minorHAnsi" w:hAnsiTheme="minorHAnsi" w:cstheme="minorHAnsi"/>
                <w:sz w:val="22"/>
                <w:szCs w:val="22"/>
                <w:lang w:val="mk-MK"/>
              </w:rPr>
              <w:t>Добивките или загубите од повторното мерење според објективната вредност се јавуваат како</w:t>
            </w:r>
            <w:r w:rsidR="00C702B1">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резултат на разликата меѓу амортизирана набавна вредност и објективната вредност на</w:t>
            </w:r>
            <w:r w:rsidR="00C702B1">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средството и се вклучуваат директно во капитал во позиција Ревалоризациони резерви.</w:t>
            </w:r>
          </w:p>
          <w:p w14:paraId="38614F78" w14:textId="77777777" w:rsidR="004B4CD2" w:rsidRPr="004B4CD2" w:rsidRDefault="004B4CD2" w:rsidP="00C702B1">
            <w:pPr>
              <w:spacing w:before="120" w:after="120"/>
              <w:jc w:val="both"/>
              <w:rPr>
                <w:rFonts w:asciiTheme="minorHAnsi" w:hAnsiTheme="minorHAnsi" w:cstheme="minorHAnsi"/>
                <w:lang w:val="mk-MK"/>
              </w:rPr>
            </w:pPr>
            <w:r w:rsidRPr="004B4CD2">
              <w:rPr>
                <w:rFonts w:asciiTheme="minorHAnsi" w:hAnsiTheme="minorHAnsi" w:cstheme="minorHAnsi"/>
                <w:sz w:val="22"/>
                <w:szCs w:val="22"/>
                <w:lang w:val="mk-MK"/>
              </w:rPr>
              <w:t>Приходот од дивиденда се признава кога на Банката ќе и биде утврдено правото да се прими</w:t>
            </w:r>
            <w:r w:rsidR="00C702B1">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плаќањето. Загубите поради оштетување (исправка на вредноста) и курсните разлики се</w:t>
            </w:r>
            <w:r w:rsidR="00C702B1">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признаваат во билансот на успех за тековниот период.</w:t>
            </w:r>
          </w:p>
          <w:p w14:paraId="08326F30" w14:textId="77777777" w:rsidR="004B4CD2" w:rsidRPr="004B4CD2" w:rsidRDefault="004B4CD2" w:rsidP="00C702B1">
            <w:pPr>
              <w:spacing w:before="120" w:after="120"/>
              <w:jc w:val="both"/>
              <w:rPr>
                <w:rFonts w:asciiTheme="minorHAnsi" w:hAnsiTheme="minorHAnsi" w:cstheme="minorHAnsi"/>
                <w:lang w:val="mk-MK"/>
              </w:rPr>
            </w:pPr>
            <w:r w:rsidRPr="004B4CD2">
              <w:rPr>
                <w:rFonts w:asciiTheme="minorHAnsi" w:hAnsiTheme="minorHAnsi" w:cstheme="minorHAnsi"/>
                <w:sz w:val="22"/>
                <w:szCs w:val="22"/>
                <w:lang w:val="mk-MK"/>
              </w:rPr>
              <w:t>Кумулативните добивки/загуби во моментот на депризнавање се депризнаваат од капиталот, а</w:t>
            </w:r>
            <w:r w:rsidR="00C702B1">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нето добвки/загуби се признаваат во билансот на успех во позиција „Останати приходи од</w:t>
            </w:r>
            <w:r w:rsidR="00C702B1">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дејноста/останати расходи од дејноста„.</w:t>
            </w:r>
          </w:p>
          <w:p w14:paraId="11E02795" w14:textId="77777777" w:rsidR="004B4CD2" w:rsidRPr="004B4CD2" w:rsidRDefault="004B4CD2" w:rsidP="00C702B1">
            <w:pPr>
              <w:spacing w:before="120" w:after="120"/>
              <w:jc w:val="both"/>
              <w:rPr>
                <w:rFonts w:asciiTheme="minorHAnsi" w:hAnsiTheme="minorHAnsi" w:cstheme="minorHAnsi"/>
                <w:lang w:val="mk-MK"/>
              </w:rPr>
            </w:pPr>
            <w:r w:rsidRPr="004B4CD2">
              <w:rPr>
                <w:rFonts w:asciiTheme="minorHAnsi" w:hAnsiTheme="minorHAnsi" w:cstheme="minorHAnsi"/>
                <w:sz w:val="22"/>
                <w:szCs w:val="22"/>
                <w:lang w:val="mk-MK"/>
              </w:rPr>
              <w:t>Прекласификација на финансиските средства што се расположливи за продажба во портфолиото</w:t>
            </w:r>
            <w:r w:rsidR="00C702B1">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на финансиските средства кои се чуваат до достасување е дозволена ако дојде до промена во</w:t>
            </w:r>
            <w:r w:rsidR="00C702B1">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намерата на Банката.</w:t>
            </w:r>
          </w:p>
          <w:p w14:paraId="5F5B39DF" w14:textId="77777777" w:rsidR="004B4CD2" w:rsidRPr="004B4CD2" w:rsidRDefault="004B4CD2" w:rsidP="00C702B1">
            <w:pPr>
              <w:spacing w:before="120" w:after="120"/>
              <w:jc w:val="both"/>
              <w:rPr>
                <w:rFonts w:asciiTheme="minorHAnsi" w:hAnsiTheme="minorHAnsi" w:cstheme="minorHAnsi"/>
                <w:lang w:val="mk-MK"/>
              </w:rPr>
            </w:pPr>
            <w:r w:rsidRPr="004B4CD2">
              <w:rPr>
                <w:rFonts w:asciiTheme="minorHAnsi" w:hAnsiTheme="minorHAnsi" w:cstheme="minorHAnsi"/>
                <w:sz w:val="22"/>
                <w:szCs w:val="22"/>
                <w:lang w:val="mk-MK"/>
              </w:rPr>
              <w:t>Прекласификацијата се прави по објективната вредност на овие средства на денот на трансферот</w:t>
            </w:r>
            <w:r w:rsidR="00C702B1">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(објективната вредност ја претставува почетната сметководствена вредност во портфолиото на</w:t>
            </w:r>
            <w:r w:rsidR="00C702B1">
              <w:rPr>
                <w:rFonts w:asciiTheme="minorHAnsi" w:hAnsiTheme="minorHAnsi" w:cstheme="minorHAnsi"/>
                <w:sz w:val="22"/>
                <w:szCs w:val="22"/>
                <w:lang w:val="mk-MK"/>
              </w:rPr>
              <w:t xml:space="preserve"> </w:t>
            </w:r>
            <w:r w:rsidRPr="004B4CD2">
              <w:rPr>
                <w:rFonts w:asciiTheme="minorHAnsi" w:hAnsiTheme="minorHAnsi" w:cstheme="minorHAnsi"/>
                <w:sz w:val="22"/>
                <w:szCs w:val="22"/>
                <w:lang w:val="mk-MK"/>
              </w:rPr>
              <w:t>финансиските средства кои се чуваат до достасување).</w:t>
            </w:r>
          </w:p>
        </w:tc>
      </w:tr>
      <w:tr w:rsidR="004B4CD2" w:rsidRPr="004B4CD2" w14:paraId="4D0CFC6D" w14:textId="77777777" w:rsidTr="00404624">
        <w:tc>
          <w:tcPr>
            <w:tcW w:w="1911" w:type="dxa"/>
            <w:vAlign w:val="center"/>
          </w:tcPr>
          <w:p w14:paraId="1A1ED6F8" w14:textId="77777777" w:rsidR="004B4CD2" w:rsidRPr="004B4CD2" w:rsidRDefault="004B4CD2" w:rsidP="00404624">
            <w:pPr>
              <w:rPr>
                <w:rFonts w:asciiTheme="minorHAnsi" w:hAnsiTheme="minorHAnsi" w:cstheme="minorHAnsi"/>
                <w:lang w:val="ru-RU"/>
              </w:rPr>
            </w:pPr>
            <w:r w:rsidRPr="004B4CD2">
              <w:rPr>
                <w:rFonts w:asciiTheme="minorHAnsi" w:hAnsiTheme="minorHAnsi" w:cstheme="minorHAnsi"/>
                <w:sz w:val="22"/>
                <w:szCs w:val="22"/>
                <w:lang w:val="ru-RU"/>
              </w:rPr>
              <w:lastRenderedPageBreak/>
              <w:t>Износот на капиталните вложувања и нивната кла</w:t>
            </w:r>
            <w:r w:rsidRPr="004B4CD2">
              <w:rPr>
                <w:rFonts w:asciiTheme="minorHAnsi" w:hAnsiTheme="minorHAnsi" w:cstheme="minorHAnsi"/>
                <w:sz w:val="22"/>
                <w:szCs w:val="22"/>
                <w:lang w:val="ru-RU"/>
              </w:rPr>
              <w:softHyphen/>
              <w:t>сификација според видот, т.е според тоа дали се работи за вложувања во сопственички хартии од вредност за кои постои активен пазар или за вложувања во сопс</w:t>
            </w:r>
            <w:r w:rsidRPr="004B4CD2">
              <w:rPr>
                <w:rFonts w:asciiTheme="minorHAnsi" w:hAnsiTheme="minorHAnsi" w:cstheme="minorHAnsi"/>
                <w:sz w:val="22"/>
                <w:szCs w:val="22"/>
                <w:lang w:val="ru-RU"/>
              </w:rPr>
              <w:softHyphen/>
              <w:t>твенички хартии од вредност за кои не постои активен пазар</w:t>
            </w:r>
          </w:p>
        </w:tc>
        <w:tc>
          <w:tcPr>
            <w:tcW w:w="7836" w:type="dxa"/>
            <w:vAlign w:val="center"/>
          </w:tcPr>
          <w:p w14:paraId="2C29B44C" w14:textId="5C1E5684" w:rsidR="00186C7E" w:rsidRPr="00186C7E" w:rsidRDefault="00186C7E" w:rsidP="00186C7E">
            <w:pPr>
              <w:spacing w:before="120" w:after="120"/>
              <w:rPr>
                <w:rFonts w:asciiTheme="minorHAnsi" w:hAnsiTheme="minorHAnsi" w:cstheme="minorHAnsi"/>
                <w:lang w:val="mk-MK"/>
              </w:rPr>
            </w:pPr>
            <w:r w:rsidRPr="00186C7E">
              <w:rPr>
                <w:rFonts w:asciiTheme="minorHAnsi" w:hAnsiTheme="minorHAnsi" w:cstheme="minorHAnsi"/>
                <w:sz w:val="22"/>
                <w:szCs w:val="22"/>
                <w:lang w:val="mk-MK"/>
              </w:rPr>
              <w:t xml:space="preserve">Состојбата на капитални вложувања на </w:t>
            </w:r>
            <w:r w:rsidRPr="00186C7E">
              <w:rPr>
                <w:rFonts w:asciiTheme="minorHAnsi" w:hAnsiTheme="minorHAnsi" w:cstheme="minorHAnsi"/>
                <w:sz w:val="22"/>
                <w:szCs w:val="22"/>
                <w:lang w:val="en-US"/>
              </w:rPr>
              <w:t>30.06</w:t>
            </w:r>
            <w:r w:rsidRPr="00186C7E">
              <w:rPr>
                <w:rFonts w:asciiTheme="minorHAnsi" w:hAnsiTheme="minorHAnsi" w:cstheme="minorHAnsi"/>
                <w:sz w:val="22"/>
                <w:szCs w:val="22"/>
                <w:lang w:val="mk-MK"/>
              </w:rPr>
              <w:t>.2</w:t>
            </w:r>
            <w:r w:rsidRPr="00186C7E">
              <w:rPr>
                <w:rFonts w:asciiTheme="minorHAnsi" w:hAnsiTheme="minorHAnsi" w:cstheme="minorHAnsi"/>
                <w:sz w:val="22"/>
                <w:szCs w:val="22"/>
                <w:lang w:val="en-US"/>
              </w:rPr>
              <w:t>02</w:t>
            </w:r>
            <w:r w:rsidR="007948B3">
              <w:rPr>
                <w:rFonts w:asciiTheme="minorHAnsi" w:hAnsiTheme="minorHAnsi" w:cstheme="minorHAnsi"/>
                <w:sz w:val="22"/>
                <w:szCs w:val="22"/>
                <w:lang w:val="mk-MK"/>
              </w:rPr>
              <w:t>2</w:t>
            </w:r>
            <w:r w:rsidRPr="00186C7E">
              <w:rPr>
                <w:rFonts w:asciiTheme="minorHAnsi" w:hAnsiTheme="minorHAnsi" w:cstheme="minorHAnsi"/>
                <w:sz w:val="22"/>
                <w:szCs w:val="22"/>
                <w:lang w:val="mk-MK"/>
              </w:rPr>
              <w:t xml:space="preserve"> за кои не постои активен пазар се состои од влогови кај</w:t>
            </w:r>
            <w:r w:rsidRPr="00186C7E">
              <w:rPr>
                <w:rFonts w:asciiTheme="minorHAnsi" w:hAnsiTheme="minorHAnsi" w:cstheme="minorHAnsi"/>
                <w:sz w:val="22"/>
                <w:szCs w:val="22"/>
                <w:lang w:val="en-US"/>
              </w:rPr>
              <w:t xml:space="preserve"> </w:t>
            </w:r>
            <w:r w:rsidRPr="00186C7E">
              <w:rPr>
                <w:rFonts w:asciiTheme="minorHAnsi" w:hAnsiTheme="minorHAnsi" w:cstheme="minorHAnsi"/>
                <w:sz w:val="22"/>
                <w:szCs w:val="22"/>
                <w:lang w:val="mk-MK"/>
              </w:rPr>
              <w:t>следните правни лица:</w:t>
            </w:r>
          </w:p>
          <w:p w14:paraId="56F69708" w14:textId="77777777" w:rsidR="004B4CD2" w:rsidRPr="00512F84" w:rsidRDefault="00186C7E" w:rsidP="00186C7E">
            <w:pPr>
              <w:spacing w:before="120" w:after="120"/>
              <w:rPr>
                <w:rFonts w:asciiTheme="minorHAnsi" w:hAnsiTheme="minorHAnsi" w:cstheme="minorHAnsi"/>
                <w:lang w:val="en-US"/>
              </w:rPr>
            </w:pPr>
            <w:r w:rsidRPr="00186C7E">
              <w:rPr>
                <w:rFonts w:asciiTheme="minorHAnsi" w:hAnsiTheme="minorHAnsi" w:cstheme="minorHAnsi"/>
                <w:sz w:val="22"/>
                <w:szCs w:val="22"/>
                <w:lang w:val="mk-MK"/>
              </w:rPr>
              <w:t>- Клириншка Куќа - Клириншки Интербанкарски системи АД - Скопје 5.480</w:t>
            </w:r>
            <w:r w:rsidRPr="00186C7E">
              <w:rPr>
                <w:rFonts w:asciiTheme="minorHAnsi" w:hAnsiTheme="minorHAnsi" w:cstheme="minorHAnsi"/>
                <w:sz w:val="22"/>
                <w:szCs w:val="22"/>
                <w:lang w:val="en-US"/>
              </w:rPr>
              <w:t xml:space="preserve"> </w:t>
            </w:r>
            <w:r w:rsidRPr="00186C7E">
              <w:rPr>
                <w:rFonts w:asciiTheme="minorHAnsi" w:hAnsiTheme="minorHAnsi" w:cstheme="minorHAnsi"/>
                <w:sz w:val="22"/>
                <w:szCs w:val="22"/>
                <w:lang w:val="mk-MK"/>
              </w:rPr>
              <w:t>илјади денари.</w:t>
            </w:r>
          </w:p>
        </w:tc>
      </w:tr>
      <w:tr w:rsidR="004B4CD2" w:rsidRPr="004B4CD2" w14:paraId="1DE38C7A" w14:textId="77777777" w:rsidTr="00404624">
        <w:tc>
          <w:tcPr>
            <w:tcW w:w="1911" w:type="dxa"/>
            <w:vAlign w:val="center"/>
          </w:tcPr>
          <w:p w14:paraId="063CB85E" w14:textId="77777777" w:rsidR="004B4CD2" w:rsidRPr="004B4CD2" w:rsidRDefault="004B4CD2" w:rsidP="00404624">
            <w:pPr>
              <w:rPr>
                <w:rFonts w:asciiTheme="minorHAnsi" w:hAnsiTheme="minorHAnsi" w:cstheme="minorHAnsi"/>
                <w:lang w:val="ru-RU"/>
              </w:rPr>
            </w:pPr>
            <w:r w:rsidRPr="004B4CD2">
              <w:rPr>
                <w:rFonts w:asciiTheme="minorHAnsi" w:hAnsiTheme="minorHAnsi" w:cstheme="minorHAnsi"/>
                <w:sz w:val="22"/>
                <w:szCs w:val="22"/>
                <w:lang w:val="ru-RU"/>
              </w:rPr>
              <w:t xml:space="preserve">Секторската структура на капиталните вложувања (капитални вложувања во банки, други финансиски институции, нефинансиски </w:t>
            </w:r>
            <w:r w:rsidRPr="004B4CD2">
              <w:rPr>
                <w:rFonts w:asciiTheme="minorHAnsi" w:hAnsiTheme="minorHAnsi" w:cstheme="minorHAnsi"/>
                <w:sz w:val="22"/>
                <w:szCs w:val="22"/>
                <w:lang w:val="ru-RU"/>
              </w:rPr>
              <w:lastRenderedPageBreak/>
              <w:t>институции, нерезиденти</w:t>
            </w:r>
          </w:p>
        </w:tc>
        <w:tc>
          <w:tcPr>
            <w:tcW w:w="7836" w:type="dxa"/>
            <w:vAlign w:val="center"/>
          </w:tcPr>
          <w:p w14:paraId="6279AEA9" w14:textId="77777777" w:rsidR="004B4CD2" w:rsidRPr="004B4CD2" w:rsidRDefault="004B4CD2" w:rsidP="00404624">
            <w:pPr>
              <w:spacing w:before="120" w:after="120"/>
              <w:rPr>
                <w:rFonts w:asciiTheme="minorHAnsi" w:hAnsiTheme="minorHAnsi" w:cstheme="minorHAnsi"/>
                <w:lang w:val="mk-MK"/>
              </w:rPr>
            </w:pPr>
            <w:r w:rsidRPr="004B4CD2">
              <w:rPr>
                <w:rFonts w:asciiTheme="minorHAnsi" w:hAnsiTheme="minorHAnsi" w:cstheme="minorHAnsi"/>
                <w:sz w:val="22"/>
                <w:szCs w:val="22"/>
                <w:lang w:val="mk-MK"/>
              </w:rPr>
              <w:lastRenderedPageBreak/>
              <w:t xml:space="preserve">Капитални вложувања во други финансиски институции: </w:t>
            </w:r>
          </w:p>
          <w:p w14:paraId="712E724B" w14:textId="77777777" w:rsidR="004B4CD2" w:rsidRPr="004B4CD2" w:rsidRDefault="004B4CD2" w:rsidP="00404624">
            <w:pPr>
              <w:spacing w:before="120" w:after="120"/>
              <w:rPr>
                <w:rFonts w:asciiTheme="minorHAnsi" w:hAnsiTheme="minorHAnsi" w:cstheme="minorHAnsi"/>
                <w:lang w:val="mk-MK"/>
              </w:rPr>
            </w:pPr>
            <w:r w:rsidRPr="004B4CD2">
              <w:rPr>
                <w:rFonts w:asciiTheme="minorHAnsi" w:hAnsiTheme="minorHAnsi" w:cstheme="minorHAnsi"/>
                <w:sz w:val="22"/>
                <w:szCs w:val="22"/>
                <w:lang w:val="mk-MK"/>
              </w:rPr>
              <w:t>- Клириншка Куќа - Клириншки Интербанкарски системи АД - Скопје</w:t>
            </w:r>
          </w:p>
        </w:tc>
      </w:tr>
      <w:tr w:rsidR="004B4CD2" w:rsidRPr="004B4CD2" w14:paraId="792FF9BD" w14:textId="77777777" w:rsidTr="00404624">
        <w:tc>
          <w:tcPr>
            <w:tcW w:w="1911" w:type="dxa"/>
            <w:vAlign w:val="center"/>
          </w:tcPr>
          <w:p w14:paraId="3D90E715" w14:textId="77777777" w:rsidR="004B4CD2" w:rsidRPr="004B4CD2" w:rsidRDefault="004B4CD2" w:rsidP="00404624">
            <w:pPr>
              <w:rPr>
                <w:rFonts w:asciiTheme="minorHAnsi" w:hAnsiTheme="minorHAnsi" w:cstheme="minorHAnsi"/>
                <w:lang w:val="ru-RU"/>
              </w:rPr>
            </w:pPr>
            <w:r w:rsidRPr="004B4CD2">
              <w:rPr>
                <w:rFonts w:asciiTheme="minorHAnsi" w:hAnsiTheme="minorHAnsi" w:cstheme="minorHAnsi"/>
                <w:sz w:val="22"/>
                <w:szCs w:val="22"/>
                <w:lang w:val="ru-RU"/>
              </w:rPr>
              <w:t>Кумулативниот износ на реализира-ните добивки (загуби) кои произлегу-ваат од отуѓувањето на вложува</w:t>
            </w:r>
            <w:r w:rsidRPr="004B4CD2">
              <w:rPr>
                <w:rFonts w:asciiTheme="minorHAnsi" w:hAnsiTheme="minorHAnsi" w:cstheme="minorHAnsi"/>
                <w:sz w:val="22"/>
                <w:szCs w:val="22"/>
                <w:lang w:val="ru-RU"/>
              </w:rPr>
              <w:softHyphen/>
              <w:t>њата во текот на периодот за кој се објавува</w:t>
            </w:r>
          </w:p>
        </w:tc>
        <w:tc>
          <w:tcPr>
            <w:tcW w:w="7836" w:type="dxa"/>
            <w:vAlign w:val="center"/>
          </w:tcPr>
          <w:p w14:paraId="7AFDE465" w14:textId="77777777" w:rsidR="004B4CD2" w:rsidRPr="004B4CD2" w:rsidRDefault="004B4CD2" w:rsidP="00404624">
            <w:pPr>
              <w:rPr>
                <w:rFonts w:asciiTheme="minorHAnsi" w:hAnsiTheme="minorHAnsi" w:cstheme="minorHAnsi"/>
                <w:lang w:val="mk-MK"/>
              </w:rPr>
            </w:pPr>
            <w:r w:rsidRPr="004B4CD2">
              <w:rPr>
                <w:rFonts w:asciiTheme="minorHAnsi" w:hAnsiTheme="minorHAnsi" w:cstheme="minorHAnsi"/>
                <w:sz w:val="22"/>
                <w:szCs w:val="22"/>
                <w:lang w:val="ru-RU"/>
              </w:rPr>
              <w:t>НЕМА</w:t>
            </w:r>
          </w:p>
        </w:tc>
      </w:tr>
      <w:tr w:rsidR="004B4CD2" w:rsidRPr="004B4CD2" w14:paraId="535C278A" w14:textId="77777777" w:rsidTr="00404624">
        <w:tc>
          <w:tcPr>
            <w:tcW w:w="1911" w:type="dxa"/>
            <w:vAlign w:val="center"/>
          </w:tcPr>
          <w:p w14:paraId="408CBC06" w14:textId="77777777" w:rsidR="004B4CD2" w:rsidRPr="004B4CD2" w:rsidRDefault="004B4CD2" w:rsidP="00404624">
            <w:pPr>
              <w:rPr>
                <w:rFonts w:asciiTheme="minorHAnsi" w:hAnsiTheme="minorHAnsi" w:cstheme="minorHAnsi"/>
                <w:lang w:val="ru-RU"/>
              </w:rPr>
            </w:pPr>
            <w:r w:rsidRPr="004B4CD2">
              <w:rPr>
                <w:rFonts w:asciiTheme="minorHAnsi" w:hAnsiTheme="minorHAnsi" w:cstheme="minorHAnsi"/>
                <w:sz w:val="22"/>
                <w:szCs w:val="22"/>
                <w:lang w:val="ru-RU"/>
              </w:rPr>
              <w:t>Вкупниот износ на нереализираните добивки (за</w:t>
            </w:r>
            <w:r w:rsidRPr="004B4CD2">
              <w:rPr>
                <w:rFonts w:asciiTheme="minorHAnsi" w:hAnsiTheme="minorHAnsi" w:cstheme="minorHAnsi"/>
                <w:sz w:val="22"/>
                <w:szCs w:val="22"/>
                <w:lang w:val="ru-RU"/>
              </w:rPr>
              <w:softHyphen/>
              <w:t>губи) од капиталните вложувања</w:t>
            </w:r>
          </w:p>
        </w:tc>
        <w:tc>
          <w:tcPr>
            <w:tcW w:w="7836" w:type="dxa"/>
            <w:vAlign w:val="center"/>
          </w:tcPr>
          <w:p w14:paraId="72160F76" w14:textId="77777777" w:rsidR="004B4CD2" w:rsidRPr="004B4CD2" w:rsidRDefault="004B4CD2" w:rsidP="00404624">
            <w:pPr>
              <w:rPr>
                <w:rFonts w:asciiTheme="minorHAnsi" w:hAnsiTheme="minorHAnsi" w:cstheme="minorHAnsi"/>
                <w:lang w:val="mk-MK"/>
              </w:rPr>
            </w:pPr>
            <w:r w:rsidRPr="004B4CD2">
              <w:rPr>
                <w:rFonts w:asciiTheme="minorHAnsi" w:hAnsiTheme="minorHAnsi" w:cstheme="minorHAnsi"/>
                <w:sz w:val="22"/>
                <w:szCs w:val="22"/>
                <w:lang w:val="ru-RU"/>
              </w:rPr>
              <w:t>НЕМА</w:t>
            </w:r>
          </w:p>
        </w:tc>
      </w:tr>
    </w:tbl>
    <w:p w14:paraId="1165B4C6" w14:textId="77777777" w:rsidR="004B4CD2" w:rsidRPr="004B4CD2" w:rsidRDefault="004B4CD2" w:rsidP="004B4CD2">
      <w:pPr>
        <w:rPr>
          <w:rFonts w:asciiTheme="minorHAnsi" w:hAnsiTheme="minorHAnsi" w:cstheme="minorHAnsi"/>
          <w:sz w:val="22"/>
          <w:szCs w:val="22"/>
          <w:lang w:val="ru-RU"/>
        </w:rPr>
        <w:sectPr w:rsidR="004B4CD2" w:rsidRPr="004B4CD2" w:rsidSect="00404624">
          <w:footerReference w:type="even" r:id="rId9"/>
          <w:footerReference w:type="default" r:id="rId10"/>
          <w:pgSz w:w="11906" w:h="16838"/>
          <w:pgMar w:top="899" w:right="1077" w:bottom="255" w:left="1440" w:header="709" w:footer="709" w:gutter="0"/>
          <w:cols w:space="708"/>
          <w:docGrid w:linePitch="360"/>
        </w:sectPr>
      </w:pPr>
    </w:p>
    <w:p w14:paraId="107AE8FD" w14:textId="77777777" w:rsidR="004B4CD2" w:rsidRPr="00C76C77" w:rsidRDefault="004B4CD2" w:rsidP="004B4CD2">
      <w:pPr>
        <w:spacing w:line="375" w:lineRule="atLeast"/>
        <w:jc w:val="center"/>
        <w:rPr>
          <w:rFonts w:asciiTheme="minorHAnsi" w:hAnsiTheme="minorHAnsi" w:cstheme="minorHAnsi"/>
          <w:noProof/>
          <w:sz w:val="22"/>
          <w:szCs w:val="22"/>
          <w:lang w:val="en-US" w:eastAsia="mk-MK"/>
        </w:rPr>
      </w:pPr>
      <w:bookmarkStart w:id="0" w:name="orgmkd"/>
      <w:r w:rsidRPr="004B4CD2">
        <w:rPr>
          <w:rFonts w:asciiTheme="minorHAnsi" w:hAnsiTheme="minorHAnsi" w:cstheme="minorHAnsi"/>
          <w:noProof/>
          <w:sz w:val="22"/>
          <w:szCs w:val="22"/>
          <w:lang w:val="mk-MK" w:eastAsia="mk-MK"/>
        </w:rPr>
        <w:lastRenderedPageBreak/>
        <w:t>ОРГАНИЗАЦИСКА СТРУКТУРА НА СИЛК РОУД БАНКА АД СКОПЈЕ</w:t>
      </w:r>
    </w:p>
    <w:bookmarkEnd w:id="0"/>
    <w:p w14:paraId="5648F62B" w14:textId="77777777" w:rsidR="004B4CD2" w:rsidRPr="004B4CD2" w:rsidRDefault="004B4CD2" w:rsidP="004B4CD2">
      <w:pPr>
        <w:spacing w:line="375" w:lineRule="atLeast"/>
        <w:jc w:val="center"/>
        <w:rPr>
          <w:rFonts w:asciiTheme="minorHAnsi" w:hAnsiTheme="minorHAnsi" w:cstheme="minorHAnsi"/>
          <w:b/>
          <w:sz w:val="22"/>
          <w:szCs w:val="22"/>
          <w:lang w:val="en-US"/>
        </w:rPr>
      </w:pPr>
      <w:r w:rsidRPr="004B4CD2">
        <w:rPr>
          <w:rFonts w:asciiTheme="minorHAnsi" w:hAnsiTheme="minorHAnsi" w:cstheme="minorHAnsi"/>
          <w:sz w:val="22"/>
          <w:szCs w:val="22"/>
          <w:lang w:val="en-US"/>
        </w:rPr>
        <w:object w:dxaOrig="16629" w:dyaOrig="10641" w14:anchorId="15E90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0.5pt;height:429pt" o:ole="">
            <v:imagedata r:id="rId11" o:title=""/>
          </v:shape>
          <o:OLEObject Type="Embed" ProgID="Visio.Drawing.11" ShapeID="_x0000_i1025" DrawAspect="Content" ObjectID="_1720282065" r:id="rId12"/>
        </w:object>
      </w:r>
    </w:p>
    <w:p w14:paraId="4818BBAB" w14:textId="77777777" w:rsidR="006F26CD" w:rsidRPr="004B4CD2" w:rsidRDefault="006F26CD">
      <w:pPr>
        <w:rPr>
          <w:rFonts w:asciiTheme="minorHAnsi" w:hAnsiTheme="minorHAnsi" w:cstheme="minorHAnsi"/>
          <w:sz w:val="22"/>
          <w:szCs w:val="22"/>
        </w:rPr>
      </w:pPr>
    </w:p>
    <w:sectPr w:rsidR="006F26CD" w:rsidRPr="004B4CD2" w:rsidSect="00404624">
      <w:pgSz w:w="16838" w:h="11906" w:orient="landscape"/>
      <w:pgMar w:top="902" w:right="1440" w:bottom="53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42971" w14:textId="77777777" w:rsidR="00CD4E89" w:rsidRDefault="00CD4E89" w:rsidP="004B4CD2">
      <w:r>
        <w:separator/>
      </w:r>
    </w:p>
  </w:endnote>
  <w:endnote w:type="continuationSeparator" w:id="0">
    <w:p w14:paraId="6CAA2C84" w14:textId="77777777" w:rsidR="00CD4E89" w:rsidRDefault="00CD4E89" w:rsidP="004B4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Oblique">
    <w:altName w:val="Arial Unicode MS"/>
    <w:panose1 w:val="00000000000000000000"/>
    <w:charset w:val="80"/>
    <w:family w:val="swiss"/>
    <w:notTrueType/>
    <w:pitch w:val="default"/>
    <w:sig w:usb0="00000001" w:usb1="08070000" w:usb2="00000010" w:usb3="00000000" w:csb0="00020000" w:csb1="00000000"/>
  </w:font>
  <w:font w:name="Helvetica-BoldOblique">
    <w:altName w:val="Arial Unicode MS"/>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B228C" w14:textId="77777777" w:rsidR="00C76C77" w:rsidRDefault="00E57904" w:rsidP="00404624">
    <w:pPr>
      <w:pStyle w:val="Footer"/>
      <w:framePr w:wrap="around" w:vAnchor="text" w:hAnchor="margin" w:xAlign="center" w:y="1"/>
      <w:rPr>
        <w:rStyle w:val="PageNumber"/>
      </w:rPr>
    </w:pPr>
    <w:r>
      <w:rPr>
        <w:rStyle w:val="PageNumber"/>
      </w:rPr>
      <w:fldChar w:fldCharType="begin"/>
    </w:r>
    <w:r w:rsidR="00C76C77">
      <w:rPr>
        <w:rStyle w:val="PageNumber"/>
      </w:rPr>
      <w:instrText xml:space="preserve">PAGE  </w:instrText>
    </w:r>
    <w:r>
      <w:rPr>
        <w:rStyle w:val="PageNumber"/>
      </w:rPr>
      <w:fldChar w:fldCharType="end"/>
    </w:r>
  </w:p>
  <w:p w14:paraId="55794A45" w14:textId="77777777" w:rsidR="00C76C77" w:rsidRDefault="00C76C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962E" w14:textId="77777777" w:rsidR="00C76C77" w:rsidRPr="00A66035" w:rsidRDefault="00E57904" w:rsidP="00404624">
    <w:pPr>
      <w:pStyle w:val="Footer"/>
      <w:framePr w:wrap="around" w:vAnchor="text" w:hAnchor="margin" w:xAlign="center" w:y="1"/>
      <w:jc w:val="center"/>
      <w:rPr>
        <w:rStyle w:val="PageNumber"/>
        <w:rFonts w:ascii="Arial" w:hAnsi="Arial" w:cs="Arial"/>
        <w:sz w:val="20"/>
        <w:szCs w:val="20"/>
      </w:rPr>
    </w:pPr>
    <w:r w:rsidRPr="00A66035">
      <w:rPr>
        <w:rStyle w:val="PageNumber"/>
        <w:rFonts w:ascii="Arial" w:hAnsi="Arial" w:cs="Arial"/>
        <w:sz w:val="20"/>
        <w:szCs w:val="20"/>
      </w:rPr>
      <w:fldChar w:fldCharType="begin"/>
    </w:r>
    <w:r w:rsidR="00C76C77" w:rsidRPr="00A66035">
      <w:rPr>
        <w:rStyle w:val="PageNumber"/>
        <w:rFonts w:ascii="Arial" w:hAnsi="Arial" w:cs="Arial"/>
        <w:sz w:val="20"/>
        <w:szCs w:val="20"/>
      </w:rPr>
      <w:instrText xml:space="preserve">PAGE  </w:instrText>
    </w:r>
    <w:r w:rsidRPr="00A66035">
      <w:rPr>
        <w:rStyle w:val="PageNumber"/>
        <w:rFonts w:ascii="Arial" w:hAnsi="Arial" w:cs="Arial"/>
        <w:sz w:val="20"/>
        <w:szCs w:val="20"/>
      </w:rPr>
      <w:fldChar w:fldCharType="separate"/>
    </w:r>
    <w:r w:rsidR="009E6EA3">
      <w:rPr>
        <w:rStyle w:val="PageNumber"/>
        <w:rFonts w:ascii="Arial" w:hAnsi="Arial" w:cs="Arial"/>
        <w:noProof/>
        <w:sz w:val="20"/>
        <w:szCs w:val="20"/>
      </w:rPr>
      <w:t>1</w:t>
    </w:r>
    <w:r w:rsidRPr="00A66035">
      <w:rPr>
        <w:rStyle w:val="PageNumber"/>
        <w:rFonts w:ascii="Arial" w:hAnsi="Arial" w:cs="Arial"/>
        <w:sz w:val="20"/>
        <w:szCs w:val="20"/>
      </w:rPr>
      <w:fldChar w:fldCharType="end"/>
    </w:r>
  </w:p>
  <w:p w14:paraId="4D4347B7" w14:textId="77777777" w:rsidR="00C76C77" w:rsidRDefault="00C76C7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C87FB" w14:textId="77777777" w:rsidR="00CD4E89" w:rsidRDefault="00CD4E89" w:rsidP="004B4CD2">
      <w:r>
        <w:separator/>
      </w:r>
    </w:p>
  </w:footnote>
  <w:footnote w:type="continuationSeparator" w:id="0">
    <w:p w14:paraId="580EF6E9" w14:textId="77777777" w:rsidR="00CD4E89" w:rsidRDefault="00CD4E89" w:rsidP="004B4C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43810"/>
    <w:multiLevelType w:val="hybridMultilevel"/>
    <w:tmpl w:val="E9388E12"/>
    <w:lvl w:ilvl="0" w:tplc="1214F904">
      <w:numFmt w:val="bullet"/>
      <w:lvlText w:val="-"/>
      <w:lvlJc w:val="left"/>
      <w:pPr>
        <w:ind w:left="720" w:hanging="360"/>
      </w:p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13CB1600"/>
    <w:multiLevelType w:val="hybridMultilevel"/>
    <w:tmpl w:val="E376B048"/>
    <w:lvl w:ilvl="0" w:tplc="1214F904">
      <w:numFmt w:val="bullet"/>
      <w:lvlText w:val="-"/>
      <w:lvlJc w:val="left"/>
      <w:pPr>
        <w:ind w:left="720" w:hanging="360"/>
      </w:p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1A612C95"/>
    <w:multiLevelType w:val="hybridMultilevel"/>
    <w:tmpl w:val="1FB005C4"/>
    <w:lvl w:ilvl="0" w:tplc="1214F904">
      <w:numFmt w:val="bullet"/>
      <w:lvlText w:val="-"/>
      <w:lvlJc w:val="left"/>
      <w:pPr>
        <w:ind w:left="720" w:hanging="360"/>
      </w:p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220256F1"/>
    <w:multiLevelType w:val="hybridMultilevel"/>
    <w:tmpl w:val="2C368378"/>
    <w:lvl w:ilvl="0" w:tplc="1214F904">
      <w:numFmt w:val="bullet"/>
      <w:lvlText w:val="-"/>
      <w:lvlJc w:val="left"/>
      <w:pPr>
        <w:ind w:left="720" w:hanging="360"/>
      </w:p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2C7001A7"/>
    <w:multiLevelType w:val="hybridMultilevel"/>
    <w:tmpl w:val="40DC94BE"/>
    <w:lvl w:ilvl="0" w:tplc="1214F904">
      <w:numFmt w:val="bullet"/>
      <w:lvlText w:val="-"/>
      <w:lvlJc w:val="left"/>
      <w:pPr>
        <w:ind w:left="720" w:hanging="360"/>
      </w:p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2FF17B9A"/>
    <w:multiLevelType w:val="hybridMultilevel"/>
    <w:tmpl w:val="33722A5E"/>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1A71978"/>
    <w:multiLevelType w:val="singleLevel"/>
    <w:tmpl w:val="A62ED5C6"/>
    <w:lvl w:ilvl="0">
      <w:start w:val="1"/>
      <w:numFmt w:val="russianLower"/>
      <w:lvlText w:val="%1)"/>
      <w:lvlJc w:val="left"/>
    </w:lvl>
  </w:abstractNum>
  <w:abstractNum w:abstractNumId="7" w15:restartNumberingAfterBreak="0">
    <w:nsid w:val="38707189"/>
    <w:multiLevelType w:val="hybridMultilevel"/>
    <w:tmpl w:val="C33EBE66"/>
    <w:lvl w:ilvl="0" w:tplc="1214F904">
      <w:numFmt w:val="bullet"/>
      <w:lvlText w:val="-"/>
      <w:lvlJc w:val="left"/>
      <w:pPr>
        <w:ind w:left="720" w:hanging="360"/>
      </w:p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15:restartNumberingAfterBreak="0">
    <w:nsid w:val="3E3656C8"/>
    <w:multiLevelType w:val="hybridMultilevel"/>
    <w:tmpl w:val="1758FEFA"/>
    <w:lvl w:ilvl="0" w:tplc="1214F904">
      <w:numFmt w:val="bullet"/>
      <w:lvlText w:val="-"/>
      <w:lvlJc w:val="left"/>
      <w:pPr>
        <w:ind w:left="720" w:hanging="360"/>
      </w:pPr>
      <w:rPr>
        <w:rFont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15:restartNumberingAfterBreak="0">
    <w:nsid w:val="3EC07E8C"/>
    <w:multiLevelType w:val="hybridMultilevel"/>
    <w:tmpl w:val="12581680"/>
    <w:lvl w:ilvl="0" w:tplc="1214F904">
      <w:numFmt w:val="bullet"/>
      <w:lvlText w:val="-"/>
      <w:lvlJc w:val="left"/>
      <w:pPr>
        <w:ind w:left="720" w:hanging="360"/>
      </w:p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15:restartNumberingAfterBreak="0">
    <w:nsid w:val="5CB97AF5"/>
    <w:multiLevelType w:val="hybridMultilevel"/>
    <w:tmpl w:val="B0624CB8"/>
    <w:lvl w:ilvl="0" w:tplc="1214F904">
      <w:numFmt w:val="bullet"/>
      <w:lvlText w:val="-"/>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F6613E"/>
    <w:multiLevelType w:val="singleLevel"/>
    <w:tmpl w:val="8DC8DC88"/>
    <w:lvl w:ilvl="0">
      <w:start w:val="1"/>
      <w:numFmt w:val="decimal"/>
      <w:lvlText w:val="%1."/>
      <w:lvlJc w:val="left"/>
    </w:lvl>
  </w:abstractNum>
  <w:abstractNum w:abstractNumId="12" w15:restartNumberingAfterBreak="0">
    <w:nsid w:val="6E004F15"/>
    <w:multiLevelType w:val="hybridMultilevel"/>
    <w:tmpl w:val="257A0546"/>
    <w:lvl w:ilvl="0" w:tplc="1214F904">
      <w:numFmt w:val="bullet"/>
      <w:lvlText w:val="-"/>
      <w:lvlJc w:val="left"/>
      <w:pPr>
        <w:ind w:left="720" w:hanging="360"/>
      </w:p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16cid:durableId="620189509">
    <w:abstractNumId w:val="10"/>
  </w:num>
  <w:num w:numId="2" w16cid:durableId="1817525987">
    <w:abstractNumId w:val="5"/>
  </w:num>
  <w:num w:numId="3" w16cid:durableId="414212140">
    <w:abstractNumId w:val="11"/>
  </w:num>
  <w:num w:numId="4" w16cid:durableId="328488045">
    <w:abstractNumId w:val="9"/>
  </w:num>
  <w:num w:numId="5" w16cid:durableId="1234466815">
    <w:abstractNumId w:val="3"/>
  </w:num>
  <w:num w:numId="6" w16cid:durableId="575822353">
    <w:abstractNumId w:val="7"/>
  </w:num>
  <w:num w:numId="7" w16cid:durableId="191500917">
    <w:abstractNumId w:val="12"/>
  </w:num>
  <w:num w:numId="8" w16cid:durableId="1115906144">
    <w:abstractNumId w:val="0"/>
  </w:num>
  <w:num w:numId="9" w16cid:durableId="1044645181">
    <w:abstractNumId w:val="2"/>
  </w:num>
  <w:num w:numId="10" w16cid:durableId="1445222456">
    <w:abstractNumId w:val="4"/>
  </w:num>
  <w:num w:numId="11" w16cid:durableId="1119644631">
    <w:abstractNumId w:val="1"/>
  </w:num>
  <w:num w:numId="12" w16cid:durableId="796214968">
    <w:abstractNumId w:val="6"/>
  </w:num>
  <w:num w:numId="13" w16cid:durableId="16944511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CD2"/>
    <w:rsid w:val="0003558E"/>
    <w:rsid w:val="00056487"/>
    <w:rsid w:val="00060539"/>
    <w:rsid w:val="000B1D32"/>
    <w:rsid w:val="000C5A5C"/>
    <w:rsid w:val="000D5FCF"/>
    <w:rsid w:val="00164F10"/>
    <w:rsid w:val="00186C7E"/>
    <w:rsid w:val="001924C1"/>
    <w:rsid w:val="00196848"/>
    <w:rsid w:val="001B603B"/>
    <w:rsid w:val="001D5207"/>
    <w:rsid w:val="001D5459"/>
    <w:rsid w:val="002254AF"/>
    <w:rsid w:val="00230F2D"/>
    <w:rsid w:val="002352CF"/>
    <w:rsid w:val="00237CDC"/>
    <w:rsid w:val="0027696D"/>
    <w:rsid w:val="003B1201"/>
    <w:rsid w:val="003F6BFA"/>
    <w:rsid w:val="00404624"/>
    <w:rsid w:val="00435FC1"/>
    <w:rsid w:val="00452CA1"/>
    <w:rsid w:val="00464260"/>
    <w:rsid w:val="00474B3C"/>
    <w:rsid w:val="004800E8"/>
    <w:rsid w:val="00494361"/>
    <w:rsid w:val="004B4CD2"/>
    <w:rsid w:val="004C3354"/>
    <w:rsid w:val="00512F84"/>
    <w:rsid w:val="0056029E"/>
    <w:rsid w:val="00561AFC"/>
    <w:rsid w:val="00564F91"/>
    <w:rsid w:val="00576086"/>
    <w:rsid w:val="005B73FB"/>
    <w:rsid w:val="005E1355"/>
    <w:rsid w:val="006441C2"/>
    <w:rsid w:val="0065099C"/>
    <w:rsid w:val="006956EA"/>
    <w:rsid w:val="006970A2"/>
    <w:rsid w:val="006A6C71"/>
    <w:rsid w:val="006D5D3C"/>
    <w:rsid w:val="006F26CD"/>
    <w:rsid w:val="0070501F"/>
    <w:rsid w:val="00744653"/>
    <w:rsid w:val="007510C0"/>
    <w:rsid w:val="007721DB"/>
    <w:rsid w:val="007848FF"/>
    <w:rsid w:val="007948B3"/>
    <w:rsid w:val="007A3BBF"/>
    <w:rsid w:val="007B13D8"/>
    <w:rsid w:val="007C6346"/>
    <w:rsid w:val="00805447"/>
    <w:rsid w:val="00815AFE"/>
    <w:rsid w:val="00836A77"/>
    <w:rsid w:val="00864973"/>
    <w:rsid w:val="00893E6E"/>
    <w:rsid w:val="0089451F"/>
    <w:rsid w:val="008B0567"/>
    <w:rsid w:val="008B6E55"/>
    <w:rsid w:val="008E2AFC"/>
    <w:rsid w:val="008F40FC"/>
    <w:rsid w:val="009A7E69"/>
    <w:rsid w:val="009E4487"/>
    <w:rsid w:val="009E6EA3"/>
    <w:rsid w:val="00A3773B"/>
    <w:rsid w:val="00A727D5"/>
    <w:rsid w:val="00AE336B"/>
    <w:rsid w:val="00B109FF"/>
    <w:rsid w:val="00B5162F"/>
    <w:rsid w:val="00B77A7D"/>
    <w:rsid w:val="00BD0AF7"/>
    <w:rsid w:val="00BE516D"/>
    <w:rsid w:val="00BE5943"/>
    <w:rsid w:val="00C13CB7"/>
    <w:rsid w:val="00C26484"/>
    <w:rsid w:val="00C27D84"/>
    <w:rsid w:val="00C46D1D"/>
    <w:rsid w:val="00C702B1"/>
    <w:rsid w:val="00C76C77"/>
    <w:rsid w:val="00CA0B67"/>
    <w:rsid w:val="00CD4E89"/>
    <w:rsid w:val="00D04FDE"/>
    <w:rsid w:val="00D6456E"/>
    <w:rsid w:val="00DA4609"/>
    <w:rsid w:val="00DD7409"/>
    <w:rsid w:val="00E25810"/>
    <w:rsid w:val="00E57904"/>
    <w:rsid w:val="00E65C0F"/>
    <w:rsid w:val="00EA3802"/>
    <w:rsid w:val="00EB7244"/>
    <w:rsid w:val="00ED1B2F"/>
    <w:rsid w:val="00ED39C7"/>
    <w:rsid w:val="00F02336"/>
    <w:rsid w:val="00F50F81"/>
    <w:rsid w:val="00FA7F1A"/>
    <w:rsid w:val="00FC57F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52D2CB"/>
  <w15:docId w15:val="{1A9359DD-A205-4DFB-B545-952FF822C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CD2"/>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B4CD2"/>
    <w:rPr>
      <w:color w:val="0000FF"/>
      <w:u w:val="single"/>
    </w:rPr>
  </w:style>
  <w:style w:type="paragraph" w:styleId="Footer">
    <w:name w:val="footer"/>
    <w:basedOn w:val="Normal"/>
    <w:link w:val="FooterChar"/>
    <w:rsid w:val="004B4CD2"/>
    <w:pPr>
      <w:tabs>
        <w:tab w:val="center" w:pos="4153"/>
        <w:tab w:val="right" w:pos="8306"/>
      </w:tabs>
    </w:pPr>
  </w:style>
  <w:style w:type="character" w:customStyle="1" w:styleId="FooterChar">
    <w:name w:val="Footer Char"/>
    <w:basedOn w:val="DefaultParagraphFont"/>
    <w:link w:val="Footer"/>
    <w:rsid w:val="004B4CD2"/>
    <w:rPr>
      <w:rFonts w:ascii="Times New Roman" w:eastAsia="Times New Roman" w:hAnsi="Times New Roman" w:cs="Times New Roman"/>
      <w:sz w:val="24"/>
      <w:szCs w:val="24"/>
      <w:lang w:val="en-GB" w:eastAsia="en-GB"/>
    </w:rPr>
  </w:style>
  <w:style w:type="character" w:styleId="PageNumber">
    <w:name w:val="page number"/>
    <w:basedOn w:val="DefaultParagraphFont"/>
    <w:rsid w:val="004B4CD2"/>
  </w:style>
  <w:style w:type="paragraph" w:customStyle="1" w:styleId="Default">
    <w:name w:val="Default"/>
    <w:rsid w:val="004B4CD2"/>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CommentReference">
    <w:name w:val="annotation reference"/>
    <w:basedOn w:val="DefaultParagraphFont"/>
    <w:rsid w:val="004B4CD2"/>
    <w:rPr>
      <w:sz w:val="16"/>
      <w:szCs w:val="16"/>
    </w:rPr>
  </w:style>
  <w:style w:type="paragraph" w:styleId="CommentText">
    <w:name w:val="annotation text"/>
    <w:basedOn w:val="Normal"/>
    <w:link w:val="CommentTextChar"/>
    <w:rsid w:val="004B4CD2"/>
    <w:rPr>
      <w:sz w:val="20"/>
      <w:szCs w:val="20"/>
    </w:rPr>
  </w:style>
  <w:style w:type="character" w:customStyle="1" w:styleId="CommentTextChar">
    <w:name w:val="Comment Text Char"/>
    <w:basedOn w:val="DefaultParagraphFont"/>
    <w:link w:val="CommentText"/>
    <w:rsid w:val="004B4CD2"/>
    <w:rPr>
      <w:rFonts w:ascii="Times New Roman" w:eastAsia="Times New Roman" w:hAnsi="Times New Roman" w:cs="Times New Roman"/>
      <w:sz w:val="20"/>
      <w:szCs w:val="20"/>
      <w:lang w:val="en-GB" w:eastAsia="en-GB"/>
    </w:rPr>
  </w:style>
  <w:style w:type="paragraph" w:styleId="ListParagraph">
    <w:name w:val="List Paragraph"/>
    <w:basedOn w:val="Normal"/>
    <w:uiPriority w:val="34"/>
    <w:qFormat/>
    <w:rsid w:val="004B4CD2"/>
    <w:pPr>
      <w:ind w:left="720"/>
      <w:contextualSpacing/>
    </w:pPr>
  </w:style>
  <w:style w:type="paragraph" w:styleId="BalloonText">
    <w:name w:val="Balloon Text"/>
    <w:basedOn w:val="Normal"/>
    <w:link w:val="BalloonTextChar"/>
    <w:uiPriority w:val="99"/>
    <w:semiHidden/>
    <w:unhideWhenUsed/>
    <w:rsid w:val="004B4CD2"/>
    <w:rPr>
      <w:rFonts w:ascii="Tahoma" w:hAnsi="Tahoma" w:cs="Tahoma"/>
      <w:sz w:val="16"/>
      <w:szCs w:val="16"/>
    </w:rPr>
  </w:style>
  <w:style w:type="character" w:customStyle="1" w:styleId="BalloonTextChar">
    <w:name w:val="Balloon Text Char"/>
    <w:basedOn w:val="DefaultParagraphFont"/>
    <w:link w:val="BalloonText"/>
    <w:uiPriority w:val="99"/>
    <w:semiHidden/>
    <w:rsid w:val="004B4CD2"/>
    <w:rPr>
      <w:rFonts w:ascii="Tahoma" w:eastAsia="Times New Roman" w:hAnsi="Tahoma" w:cs="Tahoma"/>
      <w:sz w:val="16"/>
      <w:szCs w:val="16"/>
      <w:lang w:val="en-GB" w:eastAsia="en-GB"/>
    </w:rPr>
  </w:style>
  <w:style w:type="paragraph" w:styleId="CommentSubject">
    <w:name w:val="annotation subject"/>
    <w:basedOn w:val="CommentText"/>
    <w:next w:val="CommentText"/>
    <w:link w:val="CommentSubjectChar"/>
    <w:uiPriority w:val="99"/>
    <w:semiHidden/>
    <w:unhideWhenUsed/>
    <w:rsid w:val="004B4CD2"/>
    <w:rPr>
      <w:b/>
      <w:bCs/>
    </w:rPr>
  </w:style>
  <w:style w:type="character" w:customStyle="1" w:styleId="CommentSubjectChar">
    <w:name w:val="Comment Subject Char"/>
    <w:basedOn w:val="CommentTextChar"/>
    <w:link w:val="CommentSubject"/>
    <w:uiPriority w:val="99"/>
    <w:semiHidden/>
    <w:rsid w:val="004B4CD2"/>
    <w:rPr>
      <w:rFonts w:ascii="Times New Roman" w:eastAsia="Times New Roman" w:hAnsi="Times New Roman" w:cs="Times New Roman"/>
      <w:b/>
      <w:bCs/>
      <w:sz w:val="20"/>
      <w:szCs w:val="20"/>
      <w:lang w:val="en-GB" w:eastAsia="en-GB"/>
    </w:rPr>
  </w:style>
  <w:style w:type="paragraph" w:styleId="Header">
    <w:name w:val="header"/>
    <w:basedOn w:val="Normal"/>
    <w:link w:val="HeaderChar"/>
    <w:uiPriority w:val="99"/>
    <w:semiHidden/>
    <w:unhideWhenUsed/>
    <w:rsid w:val="004B4CD2"/>
    <w:pPr>
      <w:tabs>
        <w:tab w:val="center" w:pos="4513"/>
        <w:tab w:val="right" w:pos="9026"/>
      </w:tabs>
    </w:pPr>
  </w:style>
  <w:style w:type="character" w:customStyle="1" w:styleId="HeaderChar">
    <w:name w:val="Header Char"/>
    <w:basedOn w:val="DefaultParagraphFont"/>
    <w:link w:val="Header"/>
    <w:uiPriority w:val="99"/>
    <w:semiHidden/>
    <w:rsid w:val="004B4CD2"/>
    <w:rPr>
      <w:rFonts w:ascii="Times New Roman" w:eastAsia="Times New Roman" w:hAnsi="Times New Roman" w:cs="Times New Roman"/>
      <w:sz w:val="24"/>
      <w:szCs w:val="24"/>
      <w:lang w:val="en-GB" w:eastAsia="en-GB"/>
    </w:rPr>
  </w:style>
  <w:style w:type="paragraph" w:styleId="Revision">
    <w:name w:val="Revision"/>
    <w:hidden/>
    <w:uiPriority w:val="99"/>
    <w:semiHidden/>
    <w:rsid w:val="00561AFC"/>
    <w:pPr>
      <w:spacing w:after="0"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4542A-6EBD-4932-A0E1-C9F3B1AE0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20</Pages>
  <Words>5558</Words>
  <Characters>31682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Alpha Bank AD Skopje</Company>
  <LinksUpToDate>false</LinksUpToDate>
  <CharactersWithSpaces>37166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acavdarevska</dc:creator>
  <cp:lastModifiedBy>Andriana Matlioska</cp:lastModifiedBy>
  <cp:revision>23</cp:revision>
  <dcterms:created xsi:type="dcterms:W3CDTF">2022-07-25T11:35:00Z</dcterms:created>
  <dcterms:modified xsi:type="dcterms:W3CDTF">2022-07-25T17:21:00Z</dcterms:modified>
</cp:coreProperties>
</file>